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62" w:rsidRDefault="00A60F62" w:rsidP="00A60F62">
      <w:pPr>
        <w:spacing w:after="0" w:line="240" w:lineRule="auto"/>
        <w:ind w:left="9498"/>
        <w:rPr>
          <w:rFonts w:ascii="Times New Roman" w:hAnsi="Times New Roman" w:cs="Times New Roman"/>
          <w:sz w:val="24"/>
          <w:szCs w:val="24"/>
          <w:lang w:val="uk-UA"/>
        </w:rPr>
      </w:pPr>
      <w:r w:rsidRPr="00652856">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 xml:space="preserve">до листа </w:t>
      </w:r>
      <w:proofErr w:type="spellStart"/>
      <w:r>
        <w:rPr>
          <w:rFonts w:ascii="Times New Roman" w:hAnsi="Times New Roman" w:cs="Times New Roman"/>
          <w:sz w:val="24"/>
          <w:szCs w:val="24"/>
          <w:lang w:val="uk-UA"/>
        </w:rPr>
        <w:t>Держлісагентства</w:t>
      </w:r>
      <w:proofErr w:type="spellEnd"/>
    </w:p>
    <w:p w:rsidR="00A60F62" w:rsidRDefault="00A60F62" w:rsidP="00A60F62">
      <w:pPr>
        <w:spacing w:after="0" w:line="240" w:lineRule="auto"/>
        <w:ind w:left="9498"/>
        <w:rPr>
          <w:rFonts w:ascii="Times New Roman" w:hAnsi="Times New Roman" w:cs="Times New Roman"/>
          <w:sz w:val="24"/>
          <w:szCs w:val="24"/>
          <w:lang w:val="uk-UA"/>
        </w:rPr>
      </w:pPr>
      <w:bookmarkStart w:id="0" w:name="_GoBack"/>
      <w:bookmarkEnd w:id="0"/>
    </w:p>
    <w:p w:rsidR="00A60F62" w:rsidRPr="00652856" w:rsidRDefault="00A60F62" w:rsidP="00A60F62">
      <w:pPr>
        <w:spacing w:after="0" w:line="240" w:lineRule="auto"/>
        <w:ind w:left="9498"/>
        <w:rPr>
          <w:rFonts w:ascii="Times New Roman" w:hAnsi="Times New Roman" w:cs="Times New Roman"/>
          <w:sz w:val="24"/>
          <w:szCs w:val="24"/>
          <w:lang w:val="uk-UA"/>
        </w:rPr>
      </w:pPr>
      <w:r>
        <w:rPr>
          <w:rFonts w:ascii="Times New Roman" w:hAnsi="Times New Roman" w:cs="Times New Roman"/>
          <w:sz w:val="24"/>
          <w:szCs w:val="24"/>
          <w:lang w:val="uk-UA"/>
        </w:rPr>
        <w:t>від «_____» ________ 2025 р.</w:t>
      </w:r>
    </w:p>
    <w:p w:rsidR="00A60F62" w:rsidRDefault="00A60F62" w:rsidP="00A60F62">
      <w:pPr>
        <w:spacing w:after="0" w:line="240" w:lineRule="auto"/>
        <w:ind w:left="11482"/>
        <w:rPr>
          <w:rFonts w:ascii="Times New Roman" w:hAnsi="Times New Roman" w:cs="Times New Roman"/>
          <w:sz w:val="24"/>
          <w:szCs w:val="24"/>
          <w:lang w:val="uk-UA"/>
        </w:rPr>
      </w:pPr>
    </w:p>
    <w:p w:rsidR="00A60F62" w:rsidRDefault="00A60F62" w:rsidP="00A60F62">
      <w:pPr>
        <w:spacing w:after="0" w:line="240" w:lineRule="auto"/>
        <w:ind w:left="11482"/>
        <w:rPr>
          <w:rFonts w:ascii="Times New Roman" w:hAnsi="Times New Roman" w:cs="Times New Roman"/>
          <w:sz w:val="24"/>
          <w:szCs w:val="24"/>
          <w:lang w:val="uk-UA"/>
        </w:rPr>
      </w:pPr>
    </w:p>
    <w:p w:rsidR="00A60F62" w:rsidRPr="00652856" w:rsidRDefault="00A60F62" w:rsidP="00A60F62">
      <w:pPr>
        <w:spacing w:after="0" w:line="240" w:lineRule="auto"/>
        <w:ind w:left="5812"/>
        <w:jc w:val="both"/>
        <w:rPr>
          <w:rFonts w:ascii="Times New Roman" w:hAnsi="Times New Roman" w:cs="Times New Roman"/>
          <w:b/>
          <w:sz w:val="28"/>
          <w:szCs w:val="28"/>
          <w:lang w:val="uk-UA"/>
        </w:rPr>
      </w:pPr>
      <w:r w:rsidRPr="00652856">
        <w:rPr>
          <w:rFonts w:ascii="Times New Roman" w:hAnsi="Times New Roman" w:cs="Times New Roman"/>
          <w:b/>
          <w:sz w:val="28"/>
          <w:szCs w:val="28"/>
          <w:lang w:val="uk-UA"/>
        </w:rPr>
        <w:t>АНКЕТА</w:t>
      </w:r>
    </w:p>
    <w:p w:rsidR="00A60F62" w:rsidRPr="00652856" w:rsidRDefault="00A60F62" w:rsidP="00A60F62">
      <w:pPr>
        <w:spacing w:after="0" w:line="240" w:lineRule="auto"/>
        <w:ind w:left="2694"/>
        <w:jc w:val="both"/>
        <w:rPr>
          <w:rFonts w:ascii="Times New Roman" w:hAnsi="Times New Roman" w:cs="Times New Roman"/>
          <w:b/>
          <w:sz w:val="28"/>
          <w:szCs w:val="28"/>
          <w:lang w:val="uk-UA"/>
        </w:rPr>
      </w:pPr>
      <w:r w:rsidRPr="00652856">
        <w:rPr>
          <w:rFonts w:ascii="Times New Roman" w:hAnsi="Times New Roman" w:cs="Times New Roman"/>
          <w:b/>
          <w:sz w:val="28"/>
          <w:szCs w:val="28"/>
          <w:lang w:val="uk-UA"/>
        </w:rPr>
        <w:t>щодо рівня досягнення очікуваних стратегічних результатів,</w:t>
      </w:r>
    </w:p>
    <w:p w:rsidR="00A60F62" w:rsidRPr="00652856" w:rsidRDefault="00A60F62" w:rsidP="00A60F62">
      <w:pPr>
        <w:spacing w:after="0" w:line="240" w:lineRule="auto"/>
        <w:ind w:left="2694"/>
        <w:jc w:val="both"/>
        <w:rPr>
          <w:rFonts w:ascii="Times New Roman" w:hAnsi="Times New Roman" w:cs="Times New Roman"/>
          <w:b/>
          <w:sz w:val="28"/>
          <w:szCs w:val="28"/>
          <w:lang w:val="uk-UA"/>
        </w:rPr>
      </w:pPr>
      <w:r w:rsidRPr="00652856">
        <w:rPr>
          <w:rFonts w:ascii="Times New Roman" w:hAnsi="Times New Roman" w:cs="Times New Roman"/>
          <w:b/>
          <w:sz w:val="28"/>
          <w:szCs w:val="28"/>
          <w:lang w:val="uk-UA"/>
        </w:rPr>
        <w:t>передбачених Антикорупційною стратегією на 2021 – 2025 роки</w:t>
      </w:r>
    </w:p>
    <w:p w:rsidR="00A60F62" w:rsidRDefault="00A60F62" w:rsidP="00A60F62">
      <w:pPr>
        <w:spacing w:after="0" w:line="240" w:lineRule="auto"/>
        <w:ind w:left="2694"/>
        <w:jc w:val="both"/>
        <w:rPr>
          <w:rFonts w:ascii="Times New Roman" w:hAnsi="Times New Roman" w:cs="Times New Roman"/>
          <w:sz w:val="28"/>
          <w:szCs w:val="28"/>
          <w:lang w:val="uk-UA"/>
        </w:rPr>
      </w:pPr>
    </w:p>
    <w:tbl>
      <w:tblPr>
        <w:tblStyle w:val="a3"/>
        <w:tblW w:w="0" w:type="auto"/>
        <w:tblInd w:w="279" w:type="dxa"/>
        <w:tblLook w:val="04A0" w:firstRow="1" w:lastRow="0" w:firstColumn="1" w:lastColumn="0" w:noHBand="0" w:noVBand="1"/>
      </w:tblPr>
      <w:tblGrid>
        <w:gridCol w:w="567"/>
        <w:gridCol w:w="6520"/>
        <w:gridCol w:w="6196"/>
      </w:tblGrid>
      <w:tr w:rsidR="00A60F62" w:rsidTr="00E00AA6">
        <w:tc>
          <w:tcPr>
            <w:tcW w:w="567" w:type="dxa"/>
          </w:tcPr>
          <w:p w:rsidR="00A60F62" w:rsidRPr="00FF0CF3" w:rsidRDefault="00A60F62" w:rsidP="00E00AA6">
            <w:pPr>
              <w:jc w:val="both"/>
              <w:rPr>
                <w:rFonts w:ascii="Times New Roman" w:hAnsi="Times New Roman" w:cs="Times New Roman"/>
                <w:b/>
                <w:sz w:val="28"/>
                <w:szCs w:val="28"/>
                <w:lang w:val="uk-UA"/>
              </w:rPr>
            </w:pPr>
            <w:r w:rsidRPr="00FF0CF3">
              <w:rPr>
                <w:rFonts w:ascii="Times New Roman" w:hAnsi="Times New Roman" w:cs="Times New Roman"/>
                <w:b/>
                <w:sz w:val="28"/>
                <w:szCs w:val="28"/>
                <w:lang w:val="uk-UA"/>
              </w:rPr>
              <w:t>№</w:t>
            </w:r>
          </w:p>
        </w:tc>
        <w:tc>
          <w:tcPr>
            <w:tcW w:w="6520" w:type="dxa"/>
          </w:tcPr>
          <w:p w:rsidR="00A60F62" w:rsidRPr="00FF0CF3" w:rsidRDefault="00A60F62" w:rsidP="00E00AA6">
            <w:pPr>
              <w:jc w:val="center"/>
              <w:rPr>
                <w:rFonts w:ascii="Times New Roman" w:hAnsi="Times New Roman" w:cs="Times New Roman"/>
                <w:b/>
                <w:sz w:val="28"/>
                <w:szCs w:val="28"/>
                <w:lang w:val="uk-UA"/>
              </w:rPr>
            </w:pPr>
            <w:r w:rsidRPr="00FF0CF3">
              <w:rPr>
                <w:rFonts w:ascii="Times New Roman" w:hAnsi="Times New Roman" w:cs="Times New Roman"/>
                <w:b/>
                <w:sz w:val="28"/>
                <w:szCs w:val="28"/>
                <w:lang w:val="uk-UA"/>
              </w:rPr>
              <w:t xml:space="preserve">Запитання до </w:t>
            </w:r>
            <w:proofErr w:type="spellStart"/>
            <w:r w:rsidRPr="00FF0CF3">
              <w:rPr>
                <w:rFonts w:ascii="Times New Roman" w:hAnsi="Times New Roman" w:cs="Times New Roman"/>
                <w:b/>
                <w:sz w:val="28"/>
                <w:szCs w:val="28"/>
                <w:lang w:val="uk-UA"/>
              </w:rPr>
              <w:t>Держлісагентства</w:t>
            </w:r>
            <w:proofErr w:type="spellEnd"/>
          </w:p>
        </w:tc>
        <w:tc>
          <w:tcPr>
            <w:tcW w:w="6196" w:type="dxa"/>
          </w:tcPr>
          <w:p w:rsidR="00A60F62" w:rsidRPr="00FF0CF3" w:rsidRDefault="00A60F62" w:rsidP="00E00AA6">
            <w:pPr>
              <w:jc w:val="center"/>
              <w:rPr>
                <w:rFonts w:ascii="Times New Roman" w:hAnsi="Times New Roman" w:cs="Times New Roman"/>
                <w:b/>
                <w:sz w:val="28"/>
                <w:szCs w:val="28"/>
                <w:lang w:val="uk-UA"/>
              </w:rPr>
            </w:pPr>
            <w:r w:rsidRPr="00FF0CF3">
              <w:rPr>
                <w:rFonts w:ascii="Times New Roman" w:hAnsi="Times New Roman" w:cs="Times New Roman"/>
                <w:b/>
                <w:sz w:val="28"/>
                <w:szCs w:val="28"/>
                <w:lang w:val="uk-UA"/>
              </w:rPr>
              <w:t xml:space="preserve">Відповідь </w:t>
            </w:r>
            <w:proofErr w:type="spellStart"/>
            <w:r w:rsidRPr="00FF0CF3">
              <w:rPr>
                <w:rFonts w:ascii="Times New Roman" w:hAnsi="Times New Roman" w:cs="Times New Roman"/>
                <w:b/>
                <w:sz w:val="28"/>
                <w:szCs w:val="28"/>
                <w:lang w:val="uk-UA"/>
              </w:rPr>
              <w:t>Держлісагентства</w:t>
            </w:r>
            <w:proofErr w:type="spellEnd"/>
          </w:p>
        </w:tc>
      </w:tr>
      <w:tr w:rsidR="00A60F62" w:rsidTr="00E00AA6">
        <w:tc>
          <w:tcPr>
            <w:tcW w:w="13283" w:type="dxa"/>
            <w:gridSpan w:val="3"/>
          </w:tcPr>
          <w:p w:rsidR="00A60F62" w:rsidRPr="00FF0CF3" w:rsidRDefault="00A60F62" w:rsidP="00E00AA6">
            <w:pPr>
              <w:jc w:val="center"/>
              <w:rPr>
                <w:rFonts w:ascii="Times New Roman" w:hAnsi="Times New Roman" w:cs="Times New Roman"/>
                <w:b/>
                <w:sz w:val="28"/>
                <w:szCs w:val="28"/>
                <w:lang w:val="uk-UA"/>
              </w:rPr>
            </w:pPr>
            <w:r w:rsidRPr="00FF0CF3">
              <w:rPr>
                <w:rFonts w:ascii="Times New Roman" w:hAnsi="Times New Roman" w:cs="Times New Roman"/>
                <w:b/>
                <w:sz w:val="28"/>
                <w:szCs w:val="28"/>
                <w:lang w:val="uk-UA"/>
              </w:rPr>
              <w:t>ОСР 2.2.2.2.</w:t>
            </w:r>
          </w:p>
        </w:tc>
      </w:tr>
      <w:tr w:rsidR="00A60F62" w:rsidRPr="00A60F62" w:rsidTr="00A60F62">
        <w:tc>
          <w:tcPr>
            <w:tcW w:w="567" w:type="dxa"/>
            <w:vAlign w:val="center"/>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520" w:type="dxa"/>
            <w:vAlign w:val="center"/>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 xml:space="preserve">Коли востаннє </w:t>
            </w:r>
            <w:proofErr w:type="spellStart"/>
            <w:r w:rsidRPr="00A60F62">
              <w:rPr>
                <w:rFonts w:ascii="Times New Roman" w:hAnsi="Times New Roman" w:cs="Times New Roman"/>
                <w:sz w:val="24"/>
                <w:szCs w:val="24"/>
                <w:lang w:val="uk-UA"/>
              </w:rPr>
              <w:t>Держлісагентство</w:t>
            </w:r>
            <w:proofErr w:type="spellEnd"/>
            <w:r w:rsidRPr="00A60F62">
              <w:rPr>
                <w:rFonts w:ascii="Times New Roman" w:hAnsi="Times New Roman" w:cs="Times New Roman"/>
                <w:sz w:val="24"/>
                <w:szCs w:val="24"/>
                <w:lang w:val="uk-UA"/>
              </w:rPr>
              <w:t xml:space="preserve"> проводило оновлення інформації Державного лісового кадастру?</w:t>
            </w:r>
          </w:p>
        </w:tc>
        <w:tc>
          <w:tcPr>
            <w:tcW w:w="6196" w:type="dxa"/>
          </w:tcPr>
          <w:p w:rsidR="00A60F62" w:rsidRDefault="00A60F62" w:rsidP="00A60F62">
            <w:pPr>
              <w:shd w:val="clear" w:color="auto" w:fill="FFFFFF"/>
              <w:ind w:firstLine="448"/>
              <w:jc w:val="both"/>
              <w:rPr>
                <w:rFonts w:ascii="Times New Roman" w:eastAsia="Times New Roman" w:hAnsi="Times New Roman" w:cs="Times New Roman"/>
                <w:color w:val="000000"/>
                <w:sz w:val="24"/>
                <w:szCs w:val="24"/>
                <w:lang w:val="ru-RU" w:eastAsia="ru-RU"/>
              </w:rPr>
            </w:pPr>
            <w:r w:rsidRPr="00A60F62">
              <w:rPr>
                <w:rFonts w:ascii="Times New Roman" w:eastAsia="Times New Roman" w:hAnsi="Times New Roman" w:cs="Times New Roman"/>
                <w:color w:val="000000"/>
                <w:sz w:val="24"/>
                <w:szCs w:val="24"/>
                <w:lang w:val="uk-UA" w:eastAsia="ru-RU"/>
              </w:rPr>
              <w:t>Статтею 53 Лісового кодексу України, визначено, що д</w:t>
            </w:r>
            <w:proofErr w:type="spellStart"/>
            <w:r w:rsidRPr="00A60F62">
              <w:rPr>
                <w:rFonts w:ascii="Times New Roman" w:eastAsia="Times New Roman" w:hAnsi="Times New Roman" w:cs="Times New Roman"/>
                <w:color w:val="000000"/>
                <w:sz w:val="24"/>
                <w:szCs w:val="24"/>
                <w:lang w:val="ru-RU" w:eastAsia="ru-RU"/>
              </w:rPr>
              <w:t>ержавний</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лісовий</w:t>
            </w:r>
            <w:proofErr w:type="spellEnd"/>
            <w:r w:rsidRPr="00A60F62">
              <w:rPr>
                <w:rFonts w:ascii="Times New Roman" w:eastAsia="Times New Roman" w:hAnsi="Times New Roman" w:cs="Times New Roman"/>
                <w:color w:val="000000"/>
                <w:sz w:val="24"/>
                <w:szCs w:val="24"/>
                <w:lang w:val="ru-RU" w:eastAsia="ru-RU"/>
              </w:rPr>
              <w:t xml:space="preserve"> кадастр </w:t>
            </w:r>
            <w:proofErr w:type="spellStart"/>
            <w:r w:rsidRPr="00A60F62">
              <w:rPr>
                <w:rFonts w:ascii="Times New Roman" w:eastAsia="Times New Roman" w:hAnsi="Times New Roman" w:cs="Times New Roman"/>
                <w:color w:val="000000"/>
                <w:sz w:val="24"/>
                <w:szCs w:val="24"/>
                <w:lang w:val="ru-RU" w:eastAsia="ru-RU"/>
              </w:rPr>
              <w:t>ведеться</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центральним</w:t>
            </w:r>
            <w:proofErr w:type="spellEnd"/>
            <w:r w:rsidRPr="00A60F62">
              <w:rPr>
                <w:rFonts w:ascii="Times New Roman" w:eastAsia="Times New Roman" w:hAnsi="Times New Roman" w:cs="Times New Roman"/>
                <w:color w:val="000000"/>
                <w:sz w:val="24"/>
                <w:szCs w:val="24"/>
                <w:lang w:val="ru-RU" w:eastAsia="ru-RU"/>
              </w:rPr>
              <w:t xml:space="preserve"> органом </w:t>
            </w:r>
            <w:proofErr w:type="spellStart"/>
            <w:r w:rsidRPr="00A60F62">
              <w:rPr>
                <w:rFonts w:ascii="Times New Roman" w:eastAsia="Times New Roman" w:hAnsi="Times New Roman" w:cs="Times New Roman"/>
                <w:color w:val="000000"/>
                <w:sz w:val="24"/>
                <w:szCs w:val="24"/>
                <w:lang w:val="ru-RU" w:eastAsia="ru-RU"/>
              </w:rPr>
              <w:t>виконавчої</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влади</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що</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реалізує</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державну</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політику</w:t>
            </w:r>
            <w:proofErr w:type="spellEnd"/>
            <w:r w:rsidRPr="00A60F62">
              <w:rPr>
                <w:rFonts w:ascii="Times New Roman" w:eastAsia="Times New Roman" w:hAnsi="Times New Roman" w:cs="Times New Roman"/>
                <w:color w:val="000000"/>
                <w:sz w:val="24"/>
                <w:szCs w:val="24"/>
                <w:lang w:val="ru-RU" w:eastAsia="ru-RU"/>
              </w:rPr>
              <w:t xml:space="preserve"> у </w:t>
            </w:r>
            <w:proofErr w:type="spellStart"/>
            <w:r w:rsidRPr="00A60F62">
              <w:rPr>
                <w:rFonts w:ascii="Times New Roman" w:eastAsia="Times New Roman" w:hAnsi="Times New Roman" w:cs="Times New Roman"/>
                <w:color w:val="000000"/>
                <w:sz w:val="24"/>
                <w:szCs w:val="24"/>
                <w:lang w:val="ru-RU" w:eastAsia="ru-RU"/>
              </w:rPr>
              <w:t>сфері</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лісового</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господарства</w:t>
            </w:r>
            <w:proofErr w:type="spellEnd"/>
            <w:r w:rsidRPr="00A60F62">
              <w:rPr>
                <w:rFonts w:ascii="Times New Roman" w:eastAsia="Times New Roman" w:hAnsi="Times New Roman" w:cs="Times New Roman"/>
                <w:color w:val="000000"/>
                <w:sz w:val="24"/>
                <w:szCs w:val="24"/>
                <w:lang w:val="ru-RU" w:eastAsia="ru-RU"/>
              </w:rPr>
              <w:t xml:space="preserve">, за </w:t>
            </w:r>
            <w:proofErr w:type="spellStart"/>
            <w:r w:rsidRPr="00A60F62">
              <w:rPr>
                <w:rFonts w:ascii="Times New Roman" w:eastAsia="Times New Roman" w:hAnsi="Times New Roman" w:cs="Times New Roman"/>
                <w:color w:val="000000"/>
                <w:sz w:val="24"/>
                <w:szCs w:val="24"/>
                <w:lang w:val="ru-RU" w:eastAsia="ru-RU"/>
              </w:rPr>
              <w:t>єдиною</w:t>
            </w:r>
            <w:proofErr w:type="spellEnd"/>
            <w:r w:rsidRPr="00A60F62">
              <w:rPr>
                <w:rFonts w:ascii="Times New Roman" w:eastAsia="Times New Roman" w:hAnsi="Times New Roman" w:cs="Times New Roman"/>
                <w:color w:val="000000"/>
                <w:sz w:val="24"/>
                <w:szCs w:val="24"/>
                <w:lang w:val="ru-RU" w:eastAsia="ru-RU"/>
              </w:rPr>
              <w:t xml:space="preserve"> для </w:t>
            </w:r>
            <w:proofErr w:type="spellStart"/>
            <w:r w:rsidRPr="00A60F62">
              <w:rPr>
                <w:rFonts w:ascii="Times New Roman" w:eastAsia="Times New Roman" w:hAnsi="Times New Roman" w:cs="Times New Roman"/>
                <w:color w:val="000000"/>
                <w:sz w:val="24"/>
                <w:szCs w:val="24"/>
                <w:lang w:val="ru-RU" w:eastAsia="ru-RU"/>
              </w:rPr>
              <w:t>України</w:t>
            </w:r>
            <w:proofErr w:type="spellEnd"/>
            <w:r w:rsidRPr="00A60F62">
              <w:rPr>
                <w:rFonts w:ascii="Times New Roman" w:eastAsia="Times New Roman" w:hAnsi="Times New Roman" w:cs="Times New Roman"/>
                <w:color w:val="000000"/>
                <w:sz w:val="24"/>
                <w:szCs w:val="24"/>
                <w:lang w:val="ru-RU" w:eastAsia="ru-RU"/>
              </w:rPr>
              <w:t xml:space="preserve"> системою за </w:t>
            </w:r>
            <w:proofErr w:type="spellStart"/>
            <w:r w:rsidRPr="00A60F62">
              <w:rPr>
                <w:rFonts w:ascii="Times New Roman" w:eastAsia="Times New Roman" w:hAnsi="Times New Roman" w:cs="Times New Roman"/>
                <w:color w:val="000000"/>
                <w:sz w:val="24"/>
                <w:szCs w:val="24"/>
                <w:lang w:val="ru-RU" w:eastAsia="ru-RU"/>
              </w:rPr>
              <w:t>рахунок</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коштів</w:t>
            </w:r>
            <w:proofErr w:type="spellEnd"/>
            <w:r w:rsidRPr="00A60F62">
              <w:rPr>
                <w:rFonts w:ascii="Times New Roman" w:eastAsia="Times New Roman" w:hAnsi="Times New Roman" w:cs="Times New Roman"/>
                <w:color w:val="000000"/>
                <w:sz w:val="24"/>
                <w:szCs w:val="24"/>
                <w:lang w:val="ru-RU" w:eastAsia="ru-RU"/>
              </w:rPr>
              <w:t xml:space="preserve"> державного бюджету.</w:t>
            </w:r>
            <w:bookmarkStart w:id="1" w:name="n410"/>
            <w:bookmarkEnd w:id="1"/>
          </w:p>
          <w:p w:rsidR="00A60F62" w:rsidRPr="00A60F62" w:rsidRDefault="00A60F62" w:rsidP="00A60F62">
            <w:pPr>
              <w:shd w:val="clear" w:color="auto" w:fill="FFFFFF"/>
              <w:ind w:firstLine="448"/>
              <w:jc w:val="both"/>
              <w:rPr>
                <w:rFonts w:ascii="Times New Roman" w:eastAsia="Times New Roman" w:hAnsi="Times New Roman" w:cs="Times New Roman"/>
                <w:color w:val="000000"/>
                <w:sz w:val="24"/>
                <w:szCs w:val="24"/>
                <w:lang w:val="ru-RU" w:eastAsia="ru-RU"/>
              </w:rPr>
            </w:pPr>
            <w:hyperlink r:id="rId4" w:tgtFrame="_blank" w:history="1">
              <w:r w:rsidRPr="00A60F62">
                <w:rPr>
                  <w:rFonts w:ascii="Times New Roman" w:eastAsia="Times New Roman" w:hAnsi="Times New Roman" w:cs="Times New Roman"/>
                  <w:color w:val="000000"/>
                  <w:sz w:val="24"/>
                  <w:szCs w:val="24"/>
                  <w:lang w:val="ru-RU" w:eastAsia="ru-RU"/>
                </w:rPr>
                <w:t xml:space="preserve">Порядок </w:t>
              </w:r>
              <w:proofErr w:type="spellStart"/>
              <w:r w:rsidRPr="00A60F62">
                <w:rPr>
                  <w:rFonts w:ascii="Times New Roman" w:eastAsia="Times New Roman" w:hAnsi="Times New Roman" w:cs="Times New Roman"/>
                  <w:color w:val="000000"/>
                  <w:sz w:val="24"/>
                  <w:szCs w:val="24"/>
                  <w:lang w:val="ru-RU" w:eastAsia="ru-RU"/>
                </w:rPr>
                <w:t>ведення</w:t>
              </w:r>
              <w:proofErr w:type="spellEnd"/>
              <w:r w:rsidRPr="00A60F62">
                <w:rPr>
                  <w:rFonts w:ascii="Times New Roman" w:eastAsia="Times New Roman" w:hAnsi="Times New Roman" w:cs="Times New Roman"/>
                  <w:color w:val="000000"/>
                  <w:sz w:val="24"/>
                  <w:szCs w:val="24"/>
                  <w:lang w:val="ru-RU" w:eastAsia="ru-RU"/>
                </w:rPr>
                <w:t xml:space="preserve"> державного </w:t>
              </w:r>
              <w:proofErr w:type="spellStart"/>
              <w:r w:rsidRPr="00A60F62">
                <w:rPr>
                  <w:rFonts w:ascii="Times New Roman" w:eastAsia="Times New Roman" w:hAnsi="Times New Roman" w:cs="Times New Roman"/>
                  <w:color w:val="000000"/>
                  <w:sz w:val="24"/>
                  <w:szCs w:val="24"/>
                  <w:lang w:val="ru-RU" w:eastAsia="ru-RU"/>
                </w:rPr>
                <w:t>лісового</w:t>
              </w:r>
              <w:proofErr w:type="spellEnd"/>
              <w:r w:rsidRPr="00A60F62">
                <w:rPr>
                  <w:rFonts w:ascii="Times New Roman" w:eastAsia="Times New Roman" w:hAnsi="Times New Roman" w:cs="Times New Roman"/>
                  <w:color w:val="000000"/>
                  <w:sz w:val="24"/>
                  <w:szCs w:val="24"/>
                  <w:lang w:val="ru-RU" w:eastAsia="ru-RU"/>
                </w:rPr>
                <w:t xml:space="preserve"> кадастру</w:t>
              </w:r>
            </w:hyperlink>
            <w:r w:rsidRPr="00A60F62">
              <w:rPr>
                <w:rFonts w:ascii="Times New Roman" w:eastAsia="Times New Roman" w:hAnsi="Times New Roman" w:cs="Times New Roman"/>
                <w:color w:val="000000"/>
                <w:sz w:val="24"/>
                <w:szCs w:val="24"/>
                <w:lang w:val="ru-RU" w:eastAsia="ru-RU"/>
              </w:rPr>
              <w:t> </w:t>
            </w:r>
            <w:proofErr w:type="spellStart"/>
            <w:r w:rsidRPr="00A60F62">
              <w:rPr>
                <w:rFonts w:ascii="Times New Roman" w:eastAsia="Times New Roman" w:hAnsi="Times New Roman" w:cs="Times New Roman"/>
                <w:color w:val="000000"/>
                <w:sz w:val="24"/>
                <w:szCs w:val="24"/>
                <w:lang w:val="ru-RU" w:eastAsia="ru-RU"/>
              </w:rPr>
              <w:t>встановлюється</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Кабінетом</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Міністрів</w:t>
            </w:r>
            <w:proofErr w:type="spellEnd"/>
            <w:r w:rsidRPr="00A60F62">
              <w:rPr>
                <w:rFonts w:ascii="Times New Roman" w:eastAsia="Times New Roman" w:hAnsi="Times New Roman" w:cs="Times New Roman"/>
                <w:color w:val="000000"/>
                <w:sz w:val="24"/>
                <w:szCs w:val="24"/>
                <w:lang w:val="ru-RU" w:eastAsia="ru-RU"/>
              </w:rPr>
              <w:t xml:space="preserve"> </w:t>
            </w:r>
            <w:proofErr w:type="spellStart"/>
            <w:r w:rsidRPr="00A60F62">
              <w:rPr>
                <w:rFonts w:ascii="Times New Roman" w:eastAsia="Times New Roman" w:hAnsi="Times New Roman" w:cs="Times New Roman"/>
                <w:color w:val="000000"/>
                <w:sz w:val="24"/>
                <w:szCs w:val="24"/>
                <w:lang w:val="ru-RU" w:eastAsia="ru-RU"/>
              </w:rPr>
              <w:t>України</w:t>
            </w:r>
            <w:proofErr w:type="spellEnd"/>
            <w:r w:rsidRPr="00A60F62">
              <w:rPr>
                <w:rFonts w:ascii="Times New Roman" w:eastAsia="Times New Roman" w:hAnsi="Times New Roman" w:cs="Times New Roman"/>
                <w:color w:val="000000"/>
                <w:sz w:val="24"/>
                <w:szCs w:val="24"/>
                <w:lang w:val="ru-RU" w:eastAsia="ru-RU"/>
              </w:rPr>
              <w:t>.</w:t>
            </w:r>
          </w:p>
          <w:p w:rsidR="00A60F62" w:rsidRPr="00A60F62" w:rsidRDefault="00A60F62" w:rsidP="00A60F62">
            <w:pPr>
              <w:shd w:val="clear" w:color="auto" w:fill="FFFFFF"/>
              <w:ind w:firstLine="448"/>
              <w:jc w:val="both"/>
              <w:rPr>
                <w:rFonts w:ascii="Times New Roman" w:eastAsia="Times New Roman" w:hAnsi="Times New Roman" w:cs="Times New Roman"/>
                <w:color w:val="000000"/>
                <w:sz w:val="24"/>
                <w:szCs w:val="24"/>
                <w:lang w:val="uk-UA" w:eastAsia="ru-RU"/>
              </w:rPr>
            </w:pPr>
            <w:r w:rsidRPr="00A60F62">
              <w:rPr>
                <w:rFonts w:ascii="Times New Roman" w:eastAsia="Times New Roman" w:hAnsi="Times New Roman" w:cs="Times New Roman"/>
                <w:color w:val="000000"/>
                <w:sz w:val="24"/>
                <w:szCs w:val="24"/>
                <w:lang w:val="uk-UA" w:eastAsia="ru-RU"/>
              </w:rPr>
              <w:t>Відповідно до пункту 8 Порядку ведення державного лісового кадастру та обліку лісів, затвердженого постановою Кабінету Міністрів України від 20.06.2007 № 848, визначено, що документація кадастру поновлюється один раз на п’ять років.</w:t>
            </w:r>
          </w:p>
          <w:p w:rsidR="00A60F62" w:rsidRPr="00A60F62" w:rsidRDefault="00A60F62" w:rsidP="00A60F62">
            <w:pPr>
              <w:shd w:val="clear" w:color="auto" w:fill="FFFFFF"/>
              <w:ind w:firstLine="448"/>
              <w:jc w:val="both"/>
              <w:rPr>
                <w:rFonts w:ascii="Times New Roman" w:eastAsia="Times New Roman" w:hAnsi="Times New Roman" w:cs="Times New Roman"/>
                <w:color w:val="000000"/>
                <w:sz w:val="24"/>
                <w:szCs w:val="24"/>
                <w:lang w:val="uk-UA" w:eastAsia="ru-RU"/>
              </w:rPr>
            </w:pPr>
            <w:proofErr w:type="spellStart"/>
            <w:r w:rsidRPr="00A60F62">
              <w:rPr>
                <w:rFonts w:ascii="Times New Roman" w:eastAsia="Times New Roman" w:hAnsi="Times New Roman" w:cs="Times New Roman"/>
                <w:color w:val="000000"/>
                <w:sz w:val="24"/>
                <w:szCs w:val="24"/>
                <w:shd w:val="clear" w:color="auto" w:fill="FFFFFF"/>
                <w:lang w:val="ru-RU" w:eastAsia="ru-RU"/>
              </w:rPr>
              <w:t>Державний</w:t>
            </w:r>
            <w:proofErr w:type="spellEnd"/>
            <w:r w:rsidRPr="00A60F62">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A60F62">
              <w:rPr>
                <w:rFonts w:ascii="Times New Roman" w:eastAsia="Times New Roman" w:hAnsi="Times New Roman" w:cs="Times New Roman"/>
                <w:color w:val="000000"/>
                <w:sz w:val="24"/>
                <w:szCs w:val="24"/>
                <w:shd w:val="clear" w:color="auto" w:fill="FFFFFF"/>
                <w:lang w:val="ru-RU" w:eastAsia="ru-RU"/>
              </w:rPr>
              <w:t>лісовий</w:t>
            </w:r>
            <w:proofErr w:type="spellEnd"/>
            <w:r w:rsidRPr="00A60F62">
              <w:rPr>
                <w:rFonts w:ascii="Times New Roman" w:eastAsia="Times New Roman" w:hAnsi="Times New Roman" w:cs="Times New Roman"/>
                <w:color w:val="000000"/>
                <w:sz w:val="24"/>
                <w:szCs w:val="24"/>
                <w:shd w:val="clear" w:color="auto" w:fill="FFFFFF"/>
                <w:lang w:val="ru-RU" w:eastAsia="ru-RU"/>
              </w:rPr>
              <w:t xml:space="preserve"> кадастр та </w:t>
            </w:r>
            <w:proofErr w:type="spellStart"/>
            <w:r w:rsidRPr="00A60F62">
              <w:rPr>
                <w:rFonts w:ascii="Times New Roman" w:eastAsia="Times New Roman" w:hAnsi="Times New Roman" w:cs="Times New Roman"/>
                <w:color w:val="000000"/>
                <w:sz w:val="24"/>
                <w:szCs w:val="24"/>
                <w:shd w:val="clear" w:color="auto" w:fill="FFFFFF"/>
                <w:lang w:val="ru-RU" w:eastAsia="ru-RU"/>
              </w:rPr>
              <w:t>облік</w:t>
            </w:r>
            <w:proofErr w:type="spellEnd"/>
            <w:r w:rsidRPr="00A60F62">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A60F62">
              <w:rPr>
                <w:rFonts w:ascii="Times New Roman" w:eastAsia="Times New Roman" w:hAnsi="Times New Roman" w:cs="Times New Roman"/>
                <w:color w:val="000000"/>
                <w:sz w:val="24"/>
                <w:szCs w:val="24"/>
                <w:shd w:val="clear" w:color="auto" w:fill="FFFFFF"/>
                <w:lang w:val="ru-RU" w:eastAsia="ru-RU"/>
              </w:rPr>
              <w:t>лісів</w:t>
            </w:r>
            <w:proofErr w:type="spellEnd"/>
            <w:r w:rsidRPr="00A60F62">
              <w:rPr>
                <w:rFonts w:ascii="Times New Roman" w:eastAsia="Times New Roman" w:hAnsi="Times New Roman" w:cs="Times New Roman"/>
                <w:color w:val="000000"/>
                <w:sz w:val="24"/>
                <w:szCs w:val="24"/>
                <w:shd w:val="clear" w:color="auto" w:fill="FFFFFF"/>
                <w:lang w:val="uk-UA" w:eastAsia="ru-RU"/>
              </w:rPr>
              <w:t xml:space="preserve"> в останній раз проводився станом на 01.01.2011 року.</w:t>
            </w:r>
          </w:p>
        </w:tc>
      </w:tr>
      <w:tr w:rsidR="00A60F62" w:rsidRPr="00A60F62" w:rsidTr="00A60F62">
        <w:tc>
          <w:tcPr>
            <w:tcW w:w="567" w:type="dxa"/>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520" w:type="dxa"/>
            <w:vAlign w:val="center"/>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Чи були ці оновлені відомості оприлюднені?</w:t>
            </w:r>
          </w:p>
        </w:tc>
        <w:tc>
          <w:tcPr>
            <w:tcW w:w="6196" w:type="dxa"/>
          </w:tcPr>
          <w:p w:rsidR="00A60F62" w:rsidRPr="00A60F62" w:rsidRDefault="00A60F62" w:rsidP="00E00AA6">
            <w:pPr>
              <w:jc w:val="both"/>
              <w:rPr>
                <w:rFonts w:ascii="Times New Roman" w:hAnsi="Times New Roman" w:cs="Times New Roman"/>
                <w:sz w:val="24"/>
                <w:szCs w:val="24"/>
                <w:lang w:val="ru-RU"/>
              </w:rPr>
            </w:pPr>
            <w:r w:rsidRPr="00A60F62">
              <w:rPr>
                <w:rFonts w:ascii="Times New Roman" w:hAnsi="Times New Roman" w:cs="Times New Roman"/>
                <w:sz w:val="24"/>
                <w:szCs w:val="24"/>
                <w:lang w:val="uk-UA"/>
              </w:rPr>
              <w:t xml:space="preserve">Відомості Державного лісового кадастру оприлюднені на Єдиному державному порталі відкритих даних </w:t>
            </w:r>
            <w:r w:rsidRPr="00A60F62">
              <w:rPr>
                <w:rFonts w:ascii="Times New Roman" w:hAnsi="Times New Roman" w:cs="Times New Roman"/>
                <w:color w:val="1F1F1F"/>
                <w:sz w:val="24"/>
                <w:szCs w:val="24"/>
                <w:shd w:val="clear" w:color="auto" w:fill="FFFFFF"/>
              </w:rPr>
              <w:t>data</w:t>
            </w:r>
            <w:r w:rsidRPr="00A60F62">
              <w:rPr>
                <w:rFonts w:ascii="Times New Roman" w:hAnsi="Times New Roman" w:cs="Times New Roman"/>
                <w:color w:val="1F1F1F"/>
                <w:sz w:val="24"/>
                <w:szCs w:val="24"/>
                <w:shd w:val="clear" w:color="auto" w:fill="FFFFFF"/>
                <w:lang w:val="ru-RU"/>
              </w:rPr>
              <w:t>.</w:t>
            </w:r>
            <w:proofErr w:type="spellStart"/>
            <w:r w:rsidRPr="00A60F62">
              <w:rPr>
                <w:rFonts w:ascii="Times New Roman" w:hAnsi="Times New Roman" w:cs="Times New Roman"/>
                <w:color w:val="1F1F1F"/>
                <w:sz w:val="24"/>
                <w:szCs w:val="24"/>
                <w:shd w:val="clear" w:color="auto" w:fill="FFFFFF"/>
              </w:rPr>
              <w:t>gov</w:t>
            </w:r>
            <w:proofErr w:type="spellEnd"/>
            <w:r w:rsidRPr="00A60F62">
              <w:rPr>
                <w:rFonts w:ascii="Times New Roman" w:hAnsi="Times New Roman" w:cs="Times New Roman"/>
                <w:color w:val="1F1F1F"/>
                <w:sz w:val="24"/>
                <w:szCs w:val="24"/>
                <w:shd w:val="clear" w:color="auto" w:fill="FFFFFF"/>
                <w:lang w:val="ru-RU"/>
              </w:rPr>
              <w:t>.</w:t>
            </w:r>
            <w:proofErr w:type="spellStart"/>
            <w:r w:rsidRPr="00A60F62">
              <w:rPr>
                <w:rFonts w:ascii="Times New Roman" w:hAnsi="Times New Roman" w:cs="Times New Roman"/>
                <w:color w:val="1F1F1F"/>
                <w:sz w:val="24"/>
                <w:szCs w:val="24"/>
                <w:shd w:val="clear" w:color="auto" w:fill="FFFFFF"/>
              </w:rPr>
              <w:t>ua</w:t>
            </w:r>
            <w:proofErr w:type="spellEnd"/>
            <w:r w:rsidRPr="00A60F62">
              <w:rPr>
                <w:rFonts w:ascii="Times New Roman" w:hAnsi="Times New Roman" w:cs="Times New Roman"/>
                <w:color w:val="1F1F1F"/>
                <w:sz w:val="24"/>
                <w:szCs w:val="24"/>
                <w:shd w:val="clear" w:color="auto" w:fill="FFFFFF"/>
                <w:lang w:val="ru-RU"/>
              </w:rPr>
              <w:t xml:space="preserve"> станом на 01.01.2011</w:t>
            </w:r>
          </w:p>
        </w:tc>
      </w:tr>
      <w:tr w:rsidR="00A60F62" w:rsidTr="00E00AA6">
        <w:tc>
          <w:tcPr>
            <w:tcW w:w="13283" w:type="dxa"/>
            <w:gridSpan w:val="3"/>
          </w:tcPr>
          <w:p w:rsidR="00A60F62" w:rsidRPr="00A60F62" w:rsidRDefault="00A60F62" w:rsidP="00E00AA6">
            <w:pPr>
              <w:ind w:left="5845"/>
              <w:jc w:val="both"/>
              <w:rPr>
                <w:rFonts w:ascii="Times New Roman" w:hAnsi="Times New Roman" w:cs="Times New Roman"/>
                <w:b/>
                <w:sz w:val="24"/>
                <w:szCs w:val="24"/>
                <w:lang w:val="uk-UA"/>
              </w:rPr>
            </w:pPr>
            <w:r w:rsidRPr="00A60F62">
              <w:rPr>
                <w:rFonts w:ascii="Times New Roman" w:hAnsi="Times New Roman" w:cs="Times New Roman"/>
                <w:b/>
                <w:sz w:val="24"/>
                <w:szCs w:val="24"/>
                <w:lang w:val="uk-UA"/>
              </w:rPr>
              <w:t>ОСР 2.2.4.3.</w:t>
            </w:r>
          </w:p>
        </w:tc>
      </w:tr>
      <w:tr w:rsidR="00A60F62" w:rsidRPr="00A60F62" w:rsidTr="00A60F62">
        <w:tc>
          <w:tcPr>
            <w:tcW w:w="567" w:type="dxa"/>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520" w:type="dxa"/>
            <w:vAlign w:val="center"/>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Чи запроваджена єдина державна система обліку деревини у 100 відсотків постійних лісокористувачів</w:t>
            </w:r>
          </w:p>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(станом на 31.12.2024)?</w:t>
            </w:r>
          </w:p>
        </w:tc>
        <w:tc>
          <w:tcPr>
            <w:tcW w:w="6196" w:type="dxa"/>
          </w:tcPr>
          <w:p w:rsidR="00A60F62" w:rsidRPr="00A60F62" w:rsidRDefault="00A60F62" w:rsidP="00A60F62">
            <w:pPr>
              <w:widowControl w:val="0"/>
              <w:ind w:left="48" w:right="151" w:firstLine="486"/>
              <w:jc w:val="both"/>
              <w:rPr>
                <w:rFonts w:ascii="Times New Roman" w:eastAsia="Times New Roman" w:hAnsi="Times New Roman" w:cs="Times New Roman"/>
                <w:color w:val="000000"/>
                <w:sz w:val="24"/>
                <w:szCs w:val="24"/>
                <w:lang w:val="uk-UA" w:eastAsia="ar-SA"/>
              </w:rPr>
            </w:pPr>
            <w:r w:rsidRPr="00A60F62">
              <w:rPr>
                <w:rFonts w:ascii="Times New Roman" w:eastAsia="Times New Roman" w:hAnsi="Times New Roman" w:cs="Times New Roman"/>
                <w:color w:val="000000"/>
                <w:sz w:val="24"/>
                <w:szCs w:val="24"/>
                <w:lang w:val="uk-UA" w:eastAsia="ar-SA"/>
              </w:rPr>
              <w:t xml:space="preserve">Електронний облік деревини здійснюється власниками лісів та постійними лісокористувачами України відповідно до постанови Кабінету Міністрів України від 04.12.2019 № 1142 «Про затвердження </w:t>
            </w:r>
            <w:r w:rsidRPr="00A60F62">
              <w:rPr>
                <w:rFonts w:ascii="Times New Roman" w:eastAsia="Times New Roman" w:hAnsi="Times New Roman" w:cs="Times New Roman"/>
                <w:color w:val="000000"/>
                <w:sz w:val="24"/>
                <w:szCs w:val="24"/>
                <w:lang w:val="uk-UA" w:eastAsia="ar-SA"/>
              </w:rPr>
              <w:lastRenderedPageBreak/>
              <w:t>Порядку проведення моніторингу внутрішнього споживання вітчизняних лісоматеріалів необроблених і контролю за не перевищенням обсягу внутрішнього споживання вітчизняних лісоматеріалів необроблених» та наказу Міністерства захисту довкілля та природних ресурсів України від 27.09.2021 № 621, зареєстрованого в Міністерстві юстиції України 13.10.2021 за № 1343/36965 «Про затвердження Інструкції з ведення електронного обліку деревини».</w:t>
            </w:r>
          </w:p>
          <w:p w:rsidR="00A60F62" w:rsidRPr="00A60F62" w:rsidRDefault="00A60F62" w:rsidP="00A60F62">
            <w:pPr>
              <w:widowControl w:val="0"/>
              <w:ind w:left="48" w:right="151" w:firstLine="486"/>
              <w:jc w:val="both"/>
              <w:rPr>
                <w:rFonts w:ascii="Times New Roman" w:eastAsia="Times New Roman" w:hAnsi="Times New Roman" w:cs="Times New Roman"/>
                <w:color w:val="000000"/>
                <w:sz w:val="24"/>
                <w:szCs w:val="24"/>
                <w:lang w:val="uk-UA" w:eastAsia="ar-SA"/>
              </w:rPr>
            </w:pPr>
            <w:r w:rsidRPr="00A60F62">
              <w:rPr>
                <w:rFonts w:ascii="Times New Roman" w:eastAsia="Times New Roman" w:hAnsi="Times New Roman" w:cs="Times New Roman"/>
                <w:color w:val="000000"/>
                <w:sz w:val="24"/>
                <w:szCs w:val="24"/>
                <w:lang w:val="uk-UA" w:eastAsia="ar-SA"/>
              </w:rPr>
              <w:t>Станом на 31.12.2024 у єдиній державній системі електронного обліку деревини впродовж року здійснювали господарські операції з лісоматеріалами 384 постійних лісокористувачів різних організаційно-правових форм господарювання та підпорядкування.</w:t>
            </w:r>
          </w:p>
          <w:p w:rsidR="00A60F62" w:rsidRPr="00A60F62" w:rsidRDefault="00A60F62" w:rsidP="00A60F62">
            <w:pPr>
              <w:jc w:val="both"/>
              <w:rPr>
                <w:rFonts w:ascii="Times New Roman" w:hAnsi="Times New Roman" w:cs="Times New Roman"/>
                <w:sz w:val="24"/>
                <w:szCs w:val="24"/>
                <w:lang w:val="uk-UA"/>
              </w:rPr>
            </w:pPr>
            <w:r w:rsidRPr="00A60F62">
              <w:rPr>
                <w:rFonts w:ascii="Times New Roman" w:eastAsia="Microsoft Sans Serif" w:hAnsi="Times New Roman" w:cs="Times New Roman"/>
                <w:color w:val="333333"/>
                <w:sz w:val="24"/>
                <w:szCs w:val="24"/>
                <w:shd w:val="clear" w:color="auto" w:fill="FFFFFF"/>
                <w:lang w:val="uk-UA" w:eastAsia="uk-UA"/>
              </w:rPr>
              <w:t>Відповідно до пункту 7 Порядку внесення інформації до системи обліку деревини є обов’язковим для лісокористувачів, крім лісокористувачів, визначених </w:t>
            </w:r>
            <w:hyperlink r:id="rId5" w:anchor="n927" w:tgtFrame="_blank" w:history="1">
              <w:r w:rsidRPr="00A60F62">
                <w:rPr>
                  <w:rFonts w:ascii="Times New Roman" w:eastAsia="Microsoft Sans Serif" w:hAnsi="Times New Roman" w:cs="Times New Roman"/>
                  <w:color w:val="000099"/>
                  <w:sz w:val="24"/>
                  <w:szCs w:val="24"/>
                  <w:u w:val="single"/>
                  <w:shd w:val="clear" w:color="auto" w:fill="FFFFFF"/>
                  <w:lang w:val="uk-UA" w:eastAsia="uk-UA"/>
                </w:rPr>
                <w:t>пунктом 6</w:t>
              </w:r>
            </w:hyperlink>
            <w:hyperlink r:id="rId6" w:anchor="n927" w:tgtFrame="_blank" w:history="1">
              <w:r w:rsidRPr="00A60F62">
                <w:rPr>
                  <w:rFonts w:ascii="Times New Roman" w:eastAsia="Microsoft Sans Serif" w:hAnsi="Times New Roman" w:cs="Times New Roman"/>
                  <w:b/>
                  <w:bCs/>
                  <w:color w:val="000099"/>
                  <w:sz w:val="24"/>
                  <w:szCs w:val="24"/>
                  <w:u w:val="single"/>
                  <w:shd w:val="clear" w:color="auto" w:fill="FFFFFF"/>
                  <w:vertAlign w:val="superscript"/>
                  <w:lang w:val="uk-UA" w:eastAsia="uk-UA"/>
                </w:rPr>
                <w:t>-4</w:t>
              </w:r>
            </w:hyperlink>
            <w:r w:rsidRPr="00A60F62">
              <w:rPr>
                <w:rFonts w:ascii="Times New Roman" w:eastAsia="Microsoft Sans Serif" w:hAnsi="Times New Roman" w:cs="Times New Roman"/>
                <w:b/>
                <w:bCs/>
                <w:color w:val="333333"/>
                <w:sz w:val="24"/>
                <w:szCs w:val="24"/>
                <w:shd w:val="clear" w:color="auto" w:fill="FFFFFF"/>
                <w:vertAlign w:val="superscript"/>
                <w:lang w:val="uk-UA" w:eastAsia="uk-UA"/>
              </w:rPr>
              <w:t> </w:t>
            </w:r>
            <w:r w:rsidRPr="00A60F62">
              <w:rPr>
                <w:rFonts w:ascii="Times New Roman" w:eastAsia="Microsoft Sans Serif" w:hAnsi="Times New Roman" w:cs="Times New Roman"/>
                <w:color w:val="333333"/>
                <w:sz w:val="24"/>
                <w:szCs w:val="24"/>
                <w:shd w:val="clear" w:color="auto" w:fill="FFFFFF"/>
                <w:lang w:val="uk-UA" w:eastAsia="uk-UA"/>
              </w:rPr>
              <w:t>розділу VIII «Прикінцеві положення» Лісового кодексу України, під час здійснення ними заготівлі та реалізації деревини.</w:t>
            </w:r>
          </w:p>
        </w:tc>
      </w:tr>
      <w:tr w:rsidR="00A60F62" w:rsidRPr="00A60F62" w:rsidTr="00E00AA6">
        <w:tc>
          <w:tcPr>
            <w:tcW w:w="567" w:type="dxa"/>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6520" w:type="dxa"/>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У разі негативної відповіді на попереднє питання, просимо зазначити, у якого відсотку постійних лісокористувачів запроваджена єдина система електронного обліку деревини?</w:t>
            </w:r>
          </w:p>
        </w:tc>
        <w:tc>
          <w:tcPr>
            <w:tcW w:w="6196" w:type="dxa"/>
          </w:tcPr>
          <w:p w:rsidR="00A60F62" w:rsidRPr="00A60F62" w:rsidRDefault="00A60F62" w:rsidP="00E00AA6">
            <w:pPr>
              <w:jc w:val="both"/>
              <w:rPr>
                <w:rFonts w:ascii="Times New Roman" w:hAnsi="Times New Roman" w:cs="Times New Roman"/>
                <w:sz w:val="24"/>
                <w:szCs w:val="24"/>
                <w:lang w:val="uk-UA"/>
              </w:rPr>
            </w:pPr>
            <w:r w:rsidRPr="00A60F62">
              <w:rPr>
                <w:rFonts w:ascii="Times New Roman" w:eastAsia="Microsoft Sans Serif" w:hAnsi="Times New Roman" w:cs="Times New Roman"/>
                <w:color w:val="000000"/>
                <w:sz w:val="24"/>
                <w:szCs w:val="24"/>
                <w:lang w:val="uk-UA" w:eastAsia="uk-UA"/>
              </w:rPr>
              <w:t>Станом на 31.12.2024 у єдиній державній системі електронного обліку деревини було зареєстровано 441 чинних договорів з постійними лісокористувачами.</w:t>
            </w:r>
          </w:p>
        </w:tc>
      </w:tr>
      <w:tr w:rsidR="00A60F62" w:rsidRPr="00A60F62" w:rsidTr="00A60F62">
        <w:tc>
          <w:tcPr>
            <w:tcW w:w="567" w:type="dxa"/>
            <w:vAlign w:val="center"/>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520" w:type="dxa"/>
            <w:vAlign w:val="center"/>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Чи реалізуються 100 відсотків необробленої деревини на аукціонах (станом на 31.12.2024)?</w:t>
            </w:r>
          </w:p>
        </w:tc>
        <w:tc>
          <w:tcPr>
            <w:tcW w:w="6196" w:type="dxa"/>
          </w:tcPr>
          <w:p w:rsidR="00A60F62" w:rsidRPr="00A60F62" w:rsidRDefault="00A60F62" w:rsidP="00E00AA6">
            <w:pPr>
              <w:jc w:val="both"/>
              <w:rPr>
                <w:rFonts w:ascii="Times New Roman" w:hAnsi="Times New Roman" w:cs="Times New Roman"/>
                <w:sz w:val="24"/>
                <w:szCs w:val="24"/>
                <w:lang w:val="uk-UA"/>
              </w:rPr>
            </w:pPr>
            <w:r w:rsidRPr="00A60F62">
              <w:rPr>
                <w:rFonts w:ascii="Times New Roman" w:eastAsia="Calibri" w:hAnsi="Times New Roman" w:cs="Times New Roman"/>
                <w:sz w:val="24"/>
                <w:szCs w:val="24"/>
                <w:lang w:val="uk-UA"/>
              </w:rPr>
              <w:t>Постійні лісокористувачі здійснюють реалізацію лісоматеріалів відповідно до законодавства, зокрема до положень Господарського та Цивільного кодексів України, законів України «Про товарні біржі», «Про ринки капіталу та організовані товарні ринки», «Про публічні закупівлі», «Про оборонні закупівлі» та інших нормативно-правових актів, які передбачають різні механізми продажу лісоматеріалів.</w:t>
            </w:r>
            <w:r w:rsidRPr="00A60F62">
              <w:rPr>
                <w:rFonts w:ascii="Times New Roman" w:eastAsia="Calibri" w:hAnsi="Times New Roman" w:cs="Times New Roman"/>
                <w:sz w:val="24"/>
                <w:szCs w:val="24"/>
                <w:lang w:val="uk-UA"/>
              </w:rPr>
              <w:br/>
              <w:t xml:space="preserve"> З огляду на зазначене, постійні лісокористувачі не в змозі забезпечити 100 % реалізації лісоматеріалів на аукціонних торгах.</w:t>
            </w:r>
          </w:p>
        </w:tc>
      </w:tr>
      <w:tr w:rsidR="00A60F62" w:rsidRPr="00A60F62" w:rsidTr="00E00AA6">
        <w:tc>
          <w:tcPr>
            <w:tcW w:w="567" w:type="dxa"/>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6520" w:type="dxa"/>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У разі негативної відповіді на попереднє питання, просимо зазначити, який відсоток необробленої деревини реалізується на аукціонах?</w:t>
            </w:r>
          </w:p>
        </w:tc>
        <w:tc>
          <w:tcPr>
            <w:tcW w:w="6196" w:type="dxa"/>
          </w:tcPr>
          <w:p w:rsidR="00A60F62" w:rsidRPr="00A60F62" w:rsidRDefault="00A60F62" w:rsidP="00A60F62">
            <w:pPr>
              <w:widowControl w:val="0"/>
              <w:ind w:left="109" w:right="56" w:firstLine="425"/>
              <w:jc w:val="both"/>
              <w:rPr>
                <w:rFonts w:ascii="Times New Roman" w:eastAsia="Calibri" w:hAnsi="Times New Roman" w:cs="Times New Roman"/>
                <w:sz w:val="24"/>
                <w:szCs w:val="24"/>
                <w:lang w:val="uk-UA"/>
              </w:rPr>
            </w:pPr>
            <w:r w:rsidRPr="00A60F62">
              <w:rPr>
                <w:rFonts w:ascii="Times New Roman" w:eastAsia="Calibri" w:hAnsi="Times New Roman" w:cs="Times New Roman"/>
                <w:sz w:val="24"/>
                <w:szCs w:val="24"/>
                <w:lang w:val="uk-UA"/>
              </w:rPr>
              <w:t xml:space="preserve">За результатами конкурентних процедур постійні лісокористувачі, які належать до сфери управління </w:t>
            </w:r>
            <w:proofErr w:type="spellStart"/>
            <w:r w:rsidRPr="00A60F62">
              <w:rPr>
                <w:rFonts w:ascii="Times New Roman" w:eastAsia="Calibri" w:hAnsi="Times New Roman" w:cs="Times New Roman"/>
                <w:sz w:val="24"/>
                <w:szCs w:val="24"/>
                <w:lang w:val="uk-UA"/>
              </w:rPr>
              <w:t>Держлісагентства</w:t>
            </w:r>
            <w:proofErr w:type="spellEnd"/>
            <w:r w:rsidRPr="00A60F62">
              <w:rPr>
                <w:rFonts w:ascii="Times New Roman" w:eastAsia="Calibri" w:hAnsi="Times New Roman" w:cs="Times New Roman"/>
                <w:sz w:val="24"/>
                <w:szCs w:val="24"/>
                <w:lang w:val="uk-UA"/>
              </w:rPr>
              <w:t xml:space="preserve">, реалізували суб’єктам господарювання понад 9,7 млн </w:t>
            </w:r>
            <w:proofErr w:type="spellStart"/>
            <w:r w:rsidRPr="00A60F62">
              <w:rPr>
                <w:rFonts w:ascii="Times New Roman" w:eastAsia="Calibri" w:hAnsi="Times New Roman" w:cs="Times New Roman"/>
                <w:sz w:val="24"/>
                <w:szCs w:val="24"/>
                <w:lang w:val="uk-UA"/>
              </w:rPr>
              <w:t>куб.м</w:t>
            </w:r>
            <w:proofErr w:type="spellEnd"/>
            <w:r w:rsidRPr="00A60F62">
              <w:rPr>
                <w:rFonts w:ascii="Times New Roman" w:eastAsia="Calibri" w:hAnsi="Times New Roman" w:cs="Times New Roman"/>
                <w:sz w:val="24"/>
                <w:szCs w:val="24"/>
                <w:lang w:val="uk-UA"/>
              </w:rPr>
              <w:t xml:space="preserve"> лісоматеріалів, що становить близько 98% від загального обсягу реалізації, в тому числі на організованих товарних ринках (ліцензованих товарних біржах) – понад 9,5 млн </w:t>
            </w:r>
            <w:proofErr w:type="spellStart"/>
            <w:r w:rsidRPr="00A60F62">
              <w:rPr>
                <w:rFonts w:ascii="Times New Roman" w:eastAsia="Calibri" w:hAnsi="Times New Roman" w:cs="Times New Roman"/>
                <w:sz w:val="24"/>
                <w:szCs w:val="24"/>
                <w:lang w:val="uk-UA"/>
              </w:rPr>
              <w:t>куб.м</w:t>
            </w:r>
            <w:proofErr w:type="spellEnd"/>
            <w:r w:rsidRPr="00A60F62">
              <w:rPr>
                <w:rFonts w:ascii="Times New Roman" w:eastAsia="Calibri" w:hAnsi="Times New Roman" w:cs="Times New Roman"/>
                <w:sz w:val="24"/>
                <w:szCs w:val="24"/>
                <w:lang w:val="uk-UA"/>
              </w:rPr>
              <w:t xml:space="preserve"> (або 95%).</w:t>
            </w:r>
          </w:p>
          <w:p w:rsidR="00A60F62" w:rsidRPr="00A60F62" w:rsidRDefault="00A60F62" w:rsidP="00A60F62">
            <w:pPr>
              <w:jc w:val="both"/>
              <w:rPr>
                <w:rFonts w:ascii="Times New Roman" w:hAnsi="Times New Roman" w:cs="Times New Roman"/>
                <w:sz w:val="24"/>
                <w:szCs w:val="24"/>
                <w:lang w:val="uk-UA"/>
              </w:rPr>
            </w:pPr>
            <w:r w:rsidRPr="00A60F62">
              <w:rPr>
                <w:rFonts w:ascii="Times New Roman" w:eastAsia="Calibri" w:hAnsi="Times New Roman" w:cs="Times New Roman"/>
                <w:sz w:val="24"/>
                <w:szCs w:val="24"/>
                <w:lang w:val="uk-UA"/>
              </w:rPr>
              <w:t xml:space="preserve"> Реалізація лісоматеріалів постійними лісокористувачами іншого підпорядкування наведено у таблиці, що додається.</w:t>
            </w:r>
          </w:p>
        </w:tc>
      </w:tr>
      <w:tr w:rsidR="00A60F62" w:rsidRPr="00A60F62" w:rsidTr="00E00AA6">
        <w:tc>
          <w:tcPr>
            <w:tcW w:w="567" w:type="dxa"/>
          </w:tcPr>
          <w:p w:rsidR="00A60F62" w:rsidRDefault="00A60F62" w:rsidP="00E00AA6">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520" w:type="dxa"/>
          </w:tcPr>
          <w:p w:rsidR="00A60F62" w:rsidRPr="00A60F62" w:rsidRDefault="00A60F62" w:rsidP="00E00AA6">
            <w:pPr>
              <w:jc w:val="both"/>
              <w:rPr>
                <w:rFonts w:ascii="Times New Roman" w:hAnsi="Times New Roman" w:cs="Times New Roman"/>
                <w:sz w:val="24"/>
                <w:szCs w:val="24"/>
                <w:lang w:val="uk-UA"/>
              </w:rPr>
            </w:pPr>
            <w:r w:rsidRPr="00A60F62">
              <w:rPr>
                <w:rFonts w:ascii="Times New Roman" w:hAnsi="Times New Roman" w:cs="Times New Roman"/>
                <w:sz w:val="24"/>
                <w:szCs w:val="24"/>
                <w:lang w:val="uk-UA"/>
              </w:rPr>
              <w:t>Просимо надати інформацію щодо стану опрацювання вимог Закону України «Про ринки капіталу та організовані товарні ринки» щодо реалізації необробленої деревини на ліцензованих товарних біржах (станом на 31.12.2024)</w:t>
            </w:r>
          </w:p>
        </w:tc>
        <w:tc>
          <w:tcPr>
            <w:tcW w:w="6196" w:type="dxa"/>
          </w:tcPr>
          <w:p w:rsidR="00A60F62" w:rsidRPr="00A60F62" w:rsidRDefault="00A60F62" w:rsidP="00E00AA6">
            <w:pPr>
              <w:jc w:val="both"/>
              <w:rPr>
                <w:rFonts w:ascii="Times New Roman" w:hAnsi="Times New Roman" w:cs="Times New Roman"/>
                <w:sz w:val="24"/>
                <w:szCs w:val="24"/>
                <w:lang w:val="uk-UA"/>
              </w:rPr>
            </w:pPr>
            <w:proofErr w:type="spellStart"/>
            <w:r w:rsidRPr="00A60F62">
              <w:rPr>
                <w:rFonts w:ascii="Times New Roman" w:eastAsia="Calibri" w:hAnsi="Times New Roman" w:cs="Times New Roman"/>
                <w:sz w:val="24"/>
                <w:szCs w:val="24"/>
                <w:lang w:val="uk-UA"/>
              </w:rPr>
              <w:t>Держлісагентство</w:t>
            </w:r>
            <w:proofErr w:type="spellEnd"/>
            <w:r w:rsidRPr="00A60F62">
              <w:rPr>
                <w:rFonts w:ascii="Times New Roman" w:eastAsia="Calibri" w:hAnsi="Times New Roman" w:cs="Times New Roman"/>
                <w:sz w:val="24"/>
                <w:szCs w:val="24"/>
                <w:lang w:val="uk-UA"/>
              </w:rPr>
              <w:t xml:space="preserve"> листом від 13.01.2024  № 04-20/187-25 надіслало до Державного бюро розслідувань інформацію щодо реалізації лісоматеріалів на організованих товарних ринках для відповідного реагування.</w:t>
            </w:r>
            <w:r w:rsidRPr="00A60F62">
              <w:rPr>
                <w:rFonts w:ascii="Times New Roman" w:eastAsia="Microsoft Sans Serif" w:hAnsi="Times New Roman" w:cs="Times New Roman"/>
                <w:color w:val="000000"/>
                <w:sz w:val="24"/>
                <w:szCs w:val="24"/>
                <w:lang w:val="uk-UA" w:eastAsia="uk-UA"/>
              </w:rPr>
              <w:t xml:space="preserve">  </w:t>
            </w:r>
          </w:p>
        </w:tc>
      </w:tr>
    </w:tbl>
    <w:p w:rsidR="00A60F62" w:rsidRPr="00652856" w:rsidRDefault="00A60F62" w:rsidP="00A60F62">
      <w:pPr>
        <w:spacing w:after="0" w:line="240" w:lineRule="auto"/>
        <w:ind w:left="2694"/>
        <w:jc w:val="both"/>
        <w:rPr>
          <w:rFonts w:ascii="Times New Roman" w:hAnsi="Times New Roman" w:cs="Times New Roman"/>
          <w:sz w:val="28"/>
          <w:szCs w:val="28"/>
          <w:lang w:val="uk-UA"/>
        </w:rPr>
      </w:pPr>
    </w:p>
    <w:p w:rsidR="0073296B" w:rsidRPr="00A60F62" w:rsidRDefault="0073296B">
      <w:pPr>
        <w:rPr>
          <w:lang w:val="uk-UA"/>
        </w:rPr>
      </w:pPr>
    </w:p>
    <w:sectPr w:rsidR="0073296B" w:rsidRPr="00A60F62" w:rsidSect="00652856">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EF"/>
    <w:rsid w:val="000736EF"/>
    <w:rsid w:val="0073296B"/>
    <w:rsid w:val="00A6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E11D9-9799-47AA-B126-FE166D34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52-12" TargetMode="External"/><Relationship Id="rId5" Type="http://schemas.openxmlformats.org/officeDocument/2006/relationships/hyperlink" Target="https://zakon.rada.gov.ua/laws/show/3852-12" TargetMode="External"/><Relationship Id="rId4" Type="http://schemas.openxmlformats.org/officeDocument/2006/relationships/hyperlink" Target="https://zakon.rada.gov.ua/laws/show/848-200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dc:creator>
  <cp:keywords/>
  <dc:description/>
  <cp:lastModifiedBy>Oleh</cp:lastModifiedBy>
  <cp:revision>2</cp:revision>
  <dcterms:created xsi:type="dcterms:W3CDTF">2025-01-30T09:19:00Z</dcterms:created>
  <dcterms:modified xsi:type="dcterms:W3CDTF">2025-01-30T09:26:00Z</dcterms:modified>
</cp:coreProperties>
</file>