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091E" w14:textId="77777777" w:rsidR="000461DC" w:rsidRPr="000461DC" w:rsidRDefault="000461DC" w:rsidP="000461DC">
      <w:pPr>
        <w:spacing w:after="0" w:line="276" w:lineRule="auto"/>
        <w:ind w:firstLine="709"/>
        <w:jc w:val="both"/>
        <w:rPr>
          <w:rFonts w:ascii="Times New Roman" w:hAnsi="Times New Roman" w:cs="Times New Roman"/>
          <w:b/>
          <w:bCs/>
          <w:sz w:val="28"/>
          <w:szCs w:val="28"/>
        </w:rPr>
      </w:pPr>
      <w:r w:rsidRPr="000461DC">
        <w:rPr>
          <w:rFonts w:ascii="Times New Roman" w:hAnsi="Times New Roman" w:cs="Times New Roman"/>
          <w:b/>
          <w:bCs/>
          <w:sz w:val="28"/>
          <w:szCs w:val="28"/>
        </w:rPr>
        <w:t>2.2.2.2.5.(6) Розроблення та подання Кабінетові Міністрів України проектів актів Кабінету Міністрів України щодо впровадження електронних аукціонів та систем для доступу до обмеженого спільного ресурсу на постійній основі з урахуванням проведених аналітичних досліджень.</w:t>
      </w:r>
    </w:p>
    <w:p w14:paraId="76436D32" w14:textId="77777777" w:rsidR="000461DC" w:rsidRPr="000461DC" w:rsidRDefault="000461DC" w:rsidP="000461DC">
      <w:pPr>
        <w:spacing w:after="0" w:line="276" w:lineRule="auto"/>
        <w:ind w:firstLine="709"/>
        <w:jc w:val="both"/>
        <w:rPr>
          <w:rFonts w:ascii="Times New Roman" w:hAnsi="Times New Roman" w:cs="Times New Roman"/>
          <w:b/>
          <w:bCs/>
          <w:sz w:val="28"/>
          <w:szCs w:val="28"/>
        </w:rPr>
      </w:pPr>
    </w:p>
    <w:p w14:paraId="68CEFB35" w14:textId="6F7F7BED"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Згідно з частиною першою статті 3 Кодексу України про надра </w:t>
      </w:r>
      <w:r w:rsidR="000461DC" w:rsidRPr="000461DC">
        <w:rPr>
          <w:rFonts w:ascii="Times New Roman" w:eastAsia="Calibri" w:hAnsi="Times New Roman" w:cs="Times New Roman"/>
          <w:kern w:val="0"/>
          <w:sz w:val="28"/>
          <w:szCs w:val="28"/>
          <w14:ligatures w14:val="none"/>
        </w:rPr>
        <w:br/>
      </w:r>
      <w:r w:rsidRPr="000461DC">
        <w:rPr>
          <w:rFonts w:ascii="Times New Roman" w:eastAsia="Calibri" w:hAnsi="Times New Roman" w:cs="Times New Roman"/>
          <w:kern w:val="0"/>
          <w:sz w:val="28"/>
          <w:szCs w:val="28"/>
          <w14:ligatures w14:val="none"/>
        </w:rPr>
        <w:t xml:space="preserve">(далі – КУпН, Кодекс) гірничі відносини в Україні регулюються Конституцією України, Законом України «Про охорону навколишнього природного середовища», цим Кодексом та іншими актами законодавства України, </w:t>
      </w:r>
      <w:r w:rsidR="000461DC" w:rsidRPr="000461DC">
        <w:rPr>
          <w:rFonts w:ascii="Times New Roman" w:eastAsia="Calibri" w:hAnsi="Times New Roman" w:cs="Times New Roman"/>
          <w:kern w:val="0"/>
          <w:sz w:val="28"/>
          <w:szCs w:val="28"/>
          <w14:ligatures w14:val="none"/>
        </w:rPr>
        <w:br/>
      </w:r>
      <w:r w:rsidRPr="000461DC">
        <w:rPr>
          <w:rFonts w:ascii="Times New Roman" w:eastAsia="Calibri" w:hAnsi="Times New Roman" w:cs="Times New Roman"/>
          <w:kern w:val="0"/>
          <w:sz w:val="28"/>
          <w:szCs w:val="28"/>
          <w14:ligatures w14:val="none"/>
        </w:rPr>
        <w:t xml:space="preserve">що видаються відповідно до них. </w:t>
      </w:r>
    </w:p>
    <w:p w14:paraId="6788034F" w14:textId="77777777"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Частиною першою статті 11 КУпН встановлено, що державне управління у галузі геологічного вивчення, використання і охорони надр здійснюють Кабінет Міністрів України, центральний орган виконавчої влади, що забезпечує формування державної політики у сфері охорони навколишнього природного середовища, центральний орган виконавчої влади, що реалізує державну політику у сфері геологічного вивчення та раціонального використання надр, центральний орган виконавчої влади, що реалізує державну політику у сфері охорони праці, органи влади Автономної Республіки Крим, місцеві органи виконавчої влади, інші державні органи та органи місцевого самоврядування відповідно до законодавства України. </w:t>
      </w:r>
    </w:p>
    <w:p w14:paraId="67F3CC7B" w14:textId="77777777"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Відповідно до пункту 1 Положення про Державну службу геології та надр України, затвердженого постановою Кабінету Міністрів України від 30.12.2015 № 1174, Державна служба геології та надр України (Держгеонадра) </w:t>
      </w:r>
      <w:r w:rsidRPr="000461DC">
        <w:rPr>
          <w:rFonts w:ascii="Times New Roman" w:eastAsia="Calibri" w:hAnsi="Times New Roman" w:cs="Times New Roman"/>
          <w:kern w:val="0"/>
          <w:sz w:val="28"/>
          <w:szCs w:val="28"/>
          <w14:ligatures w14:val="none"/>
        </w:rPr>
        <w:br/>
        <w:t xml:space="preserve">є центральним органом виконавчої влади, діяльність якого спрямовується і координується Кабінетом Міністрів України через Міністра захисту довкілля та природних ресурсів і який реалізує державну політику у сфері геологічного вивчення та раціонального використання надр, є уповноваженим органом </w:t>
      </w:r>
      <w:r w:rsidRPr="000461DC">
        <w:rPr>
          <w:rFonts w:ascii="Times New Roman" w:eastAsia="Calibri" w:hAnsi="Times New Roman" w:cs="Times New Roman"/>
          <w:kern w:val="0"/>
          <w:sz w:val="28"/>
          <w:szCs w:val="28"/>
          <w14:ligatures w14:val="none"/>
        </w:rPr>
        <w:br/>
        <w:t>з питань реалізації угод про розподіл продукції.</w:t>
      </w:r>
    </w:p>
    <w:p w14:paraId="0EF88246" w14:textId="77777777"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Порядок надання спеціальних дозволів на користування надрами та процедура продовження їх строку, переоформлення, внесення змін, зупинення дії, анулювання, підстави для відмови у наданні, продовженні строку, внесення змін до угоди про умови користування надрами, тощо визначено статями </w:t>
      </w:r>
      <w:r w:rsidRPr="000461DC">
        <w:rPr>
          <w:rFonts w:ascii="Times New Roman" w:eastAsia="Calibri" w:hAnsi="Times New Roman" w:cs="Times New Roman"/>
          <w:kern w:val="0"/>
          <w:sz w:val="28"/>
          <w:szCs w:val="28"/>
          <w14:ligatures w14:val="none"/>
        </w:rPr>
        <w:br/>
        <w:t>16 – 16</w:t>
      </w:r>
      <w:r w:rsidRPr="000461DC">
        <w:rPr>
          <w:rFonts w:ascii="Times New Roman" w:eastAsia="Calibri" w:hAnsi="Times New Roman" w:cs="Times New Roman"/>
          <w:kern w:val="0"/>
          <w:sz w:val="28"/>
          <w:szCs w:val="28"/>
          <w:vertAlign w:val="superscript"/>
          <w14:ligatures w14:val="none"/>
        </w:rPr>
        <w:t>6</w:t>
      </w:r>
      <w:r w:rsidRPr="000461DC">
        <w:rPr>
          <w:rFonts w:ascii="Times New Roman" w:eastAsia="Calibri" w:hAnsi="Times New Roman" w:cs="Times New Roman"/>
          <w:kern w:val="0"/>
          <w:sz w:val="28"/>
          <w:szCs w:val="28"/>
          <w14:ligatures w14:val="none"/>
        </w:rPr>
        <w:t xml:space="preserve"> КУпН. </w:t>
      </w:r>
    </w:p>
    <w:p w14:paraId="6EAA6702" w14:textId="77777777"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Згідно частини третьої статті 16 Кодексу аукціон (електронні торги) щодо продажу спеціального дозволу на користування надрами проводиться шляхом електронних торгів, що здійснюються за допомогою дворівневої автоматизованої інформаційно-комунікаційної системи, яка забезпечує можливість створення, розміщення, оприлюднення та обміну інформацією і </w:t>
      </w:r>
      <w:r w:rsidRPr="000461DC">
        <w:rPr>
          <w:rFonts w:ascii="Times New Roman" w:eastAsia="Calibri" w:hAnsi="Times New Roman" w:cs="Times New Roman"/>
          <w:kern w:val="0"/>
          <w:sz w:val="28"/>
          <w:szCs w:val="28"/>
          <w14:ligatures w14:val="none"/>
        </w:rPr>
        <w:lastRenderedPageBreak/>
        <w:t xml:space="preserve">документами в електронній формі, які необхідні для проведення аукціону (електронних торгів), запобігання корупційним правопорушенням, </w:t>
      </w:r>
      <w:r w:rsidRPr="000461DC">
        <w:rPr>
          <w:rFonts w:ascii="Times New Roman" w:eastAsia="Calibri" w:hAnsi="Times New Roman" w:cs="Times New Roman"/>
          <w:kern w:val="0"/>
          <w:sz w:val="28"/>
          <w:szCs w:val="28"/>
          <w14:ligatures w14:val="none"/>
        </w:rPr>
        <w:br/>
        <w:t xml:space="preserve">та складається з бази даних системи аукціонів (електронних торгів) з продажу спеціальних дозволів на користування надрами та електронних майданчиків, які взаємодіють через інтерфейс програмування додатків, що надається як код з відкритим доступом та визначає функціональність системи. Порядок проведення аукціону (електронних торгів) з продажу спеціального дозволу на користування надрами встановлюється Кабінетом Міністрів України. </w:t>
      </w:r>
    </w:p>
    <w:p w14:paraId="5FE3F3A7"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Подання заяви разом з необхідними документами для отримання, продовження строку дії спеціального дозволу на користування надрами, внесення змін до нього, а також внесення змін до угоди про умови користування надрами здійснюються заявником в електронній формі через електронний кабінет надрокористувача на Державному геологічному веб-порталі, формування та ведення якого забезпечує центральний орган виконавчої влади, що реалізує державну політику у сфері геологічного вивчення та раціонального використання надр.</w:t>
      </w:r>
    </w:p>
    <w:p w14:paraId="7CF5C4AF"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Порядок подання заяв через електронний кабінет надрокористувача регулюється Положенням про електронний кабінет надрокористувача, яке затверджується центральним органом виконавчої влади, що забезпечує формування державної політики у сфері охорони навколишнього природного середовища. Подання документів, що містять інформацію з обмеженим доступом, здійснюється з урахуванням вимог законодавства.</w:t>
      </w:r>
    </w:p>
    <w:p w14:paraId="1260A183"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Інформація про подані через електронний кабінет надрокористувача заяви, хід їх розгляду, стан дії спеціального дозволу на користування надрами є відкритою та оприлюднюється на Державному геологічному веб-порталі центральним органом виконавчої влади, що реалізує державну політику у сфері геологічного вивчення та раціонального використання надр.</w:t>
      </w:r>
    </w:p>
    <w:p w14:paraId="28D3C912"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Спеціальний дозвіл на користування надрами за результатами аукціону (електронних торгів) надається відповідним дозвільним органом у порядку, визначеному цим Кодексом, переможцю аукціону (електронних торгів), який має право бути користувачем надр відповідно до частин першої - шостої статті 13 цього Кодексу.</w:t>
      </w:r>
    </w:p>
    <w:p w14:paraId="1BE42E31"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Спеціальний дозвіл на користування надрами надається переможцю аукціону (електронних торгів) за його зверненням.</w:t>
      </w:r>
    </w:p>
    <w:p w14:paraId="1DA31E7A"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У разі якщо переможець аукціону (електронних торгів) з продажу спеціального дозволу на користування надрами або переможець конкурсу на укладення угоди про розподіл продукції не має права бути користувачем надр відповідно до частин третьої - шостої статті 13 цього Кодексу, відповідний аукціон (електронні торги) або конкурс вважається таким, що не відбувся.</w:t>
      </w:r>
    </w:p>
    <w:p w14:paraId="27876B80"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lastRenderedPageBreak/>
        <w:t>Для ініціювання продажу спеціального дозволу на користування надрами на аукціоні (електронних торгах) заявник подає до відповідного дозвільного органу заяву та додаткові матеріали, що включають оглядову карту, ситуаційний план, каталог географічних координат кутових точок, програму робіт, а якщо ділянка надр вже підготовлена для виставлення на аукціон (електронні торги) та інформація про неї розміщена на офіційному веб-сайті дозвільного органу - лише заяву із зазначенням назви такої ділянки.</w:t>
      </w:r>
    </w:p>
    <w:p w14:paraId="0DB21821"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Ділянки надр, які пропонуються для виставлення на аукціон (електронні торги) з метою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погоджуються центральним органом виконавчої влади, що забезпечує формування державної політики у сфері охорони навколишнього природного середовища, із зазначенням умов, за яких можливе надрокористування на запропонованих ділянках надр (у частині дотримання вимог природоохоронного законодавства), протягом 15 робочих днів з дня надходження запиту відповідного дозвільного органу разом з документами, передбаченими частиною десятою цієї статті. У разі відмови у погодженні центральний орган виконавчої влади, що забезпечує формування державної політики у сфері охорони навколишнього природного середовища, надає обґрунтовані зауваження (із зазначенням шляхів їх усунення) щодо неможливості надрокористування на запропонованій ділянці надр з дотриманням вимог природоохоронного законодавства. Такі погодження та зауваження оприлюднюються на офіційному веб-сайті центрального органу виконавчої влади, що забезпечує формування державної політики у сфері охорони навколишнього природного середовища, протягом трьох робочих днів після прийняття відповідного рішення.</w:t>
      </w:r>
    </w:p>
    <w:p w14:paraId="327E7C52" w14:textId="77777777"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У разі повторного погодження не допускається надання відмови з причин, не зазначених у зауваженнях (крім випадків неусунення причин, що стали підставою для попередньої відмови).</w:t>
      </w:r>
    </w:p>
    <w:p w14:paraId="0D3F5F3E" w14:textId="354EF376" w:rsidR="00B62CC8" w:rsidRPr="000461DC" w:rsidRDefault="00B62CC8"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У разі ненадання центральним органом виконавчої влади, що забезпечує формування державної політики у сфері охорони навколишнього середовища, погодження чи відмови у погодженні щодо запропонованої ділянки надр протягом 15 робочих днів з дня надходження запиту відповідного дозвільного органу разом з документами, передбаченими частиною десятою цієї статті, вважається, що погодження щодо запропонованої для виставлення на аукціон (електронні торги) ділянки надр надано.</w:t>
      </w:r>
    </w:p>
    <w:p w14:paraId="1A3E9EAE" w14:textId="77777777"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Звертаємо Вашу увагу, що Законом України від 01.12.2022 № 2805-IX прийнято зміни до деяких законодавчих актів України щодо удосконалення законодавства у сфері користування надрами. </w:t>
      </w:r>
    </w:p>
    <w:p w14:paraId="10698D1A" w14:textId="77777777" w:rsidR="00AD6114" w:rsidRPr="000461DC" w:rsidRDefault="00AD6114" w:rsidP="000461DC">
      <w:pPr>
        <w:spacing w:after="0" w:line="276" w:lineRule="auto"/>
        <w:ind w:firstLine="709"/>
        <w:jc w:val="both"/>
        <w:rPr>
          <w:rFonts w:ascii="Times New Roman" w:hAnsi="Times New Roman" w:cs="Times New Roman"/>
          <w:sz w:val="28"/>
          <w:szCs w:val="28"/>
        </w:rPr>
      </w:pPr>
      <w:r w:rsidRPr="000461DC">
        <w:rPr>
          <w:rFonts w:ascii="Times New Roman" w:hAnsi="Times New Roman" w:cs="Times New Roman"/>
          <w:sz w:val="28"/>
          <w:szCs w:val="28"/>
        </w:rPr>
        <w:lastRenderedPageBreak/>
        <w:t xml:space="preserve">Враховуючи вищеприведене та з урахуванням проведених аналітичних досліджень було внесено зміни до  Порядку проведення аукціону (електронних торгів) з продажу спеціального дозволу на користування надрами. </w:t>
      </w:r>
    </w:p>
    <w:p w14:paraId="6F5A42DD" w14:textId="0C686913"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Постановою Кабінету Міністрів України від 04.07.2023 № 749 «Про внесення змін та визнання такими, що втратили чинність, деяких постанов Кабінету Міністрів України щодо користування надрами», яка набрала чинності з 26.07.2023, внесено зміни (в частині назви та редакції) до Порядку проведення аукціону (електронних торгів) з продажу спеціального дозволу на користування надрами, який затверджено постановою Кабінету Міністрів України </w:t>
      </w:r>
      <w:r w:rsidR="000461DC" w:rsidRPr="000461DC">
        <w:rPr>
          <w:rFonts w:ascii="Times New Roman" w:eastAsia="Calibri" w:hAnsi="Times New Roman" w:cs="Times New Roman"/>
          <w:kern w:val="0"/>
          <w:sz w:val="28"/>
          <w:szCs w:val="28"/>
          <w14:ligatures w14:val="none"/>
        </w:rPr>
        <w:br/>
      </w:r>
      <w:r w:rsidRPr="000461DC">
        <w:rPr>
          <w:rFonts w:ascii="Times New Roman" w:eastAsia="Calibri" w:hAnsi="Times New Roman" w:cs="Times New Roman"/>
          <w:kern w:val="0"/>
          <w:sz w:val="28"/>
          <w:szCs w:val="28"/>
          <w14:ligatures w14:val="none"/>
        </w:rPr>
        <w:t xml:space="preserve">від 23.09.2020 № 993 (далі – Порядок). </w:t>
      </w:r>
    </w:p>
    <w:p w14:paraId="74C40753" w14:textId="77777777"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Державна служба геології та надр України відповідно до вищевказаного Порядку здійснює проведення аукціонів з продажу спеціальних дозволів на користування надрами шляхом електронних торгів. Реалізація лотів здійснюється з урахуванням встановлених законодавством вимог через електронну систему «ProZorro.Продажі» ‒ державного підприємства, яке адмініструє електронну торгову систему з продажу державного та комунального майна, а також слугує центральною базою даних для електронних торгів. </w:t>
      </w:r>
    </w:p>
    <w:p w14:paraId="1F5A02DA" w14:textId="77777777"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Відповідно до </w:t>
      </w:r>
      <w:hyperlink r:id="rId7" w:anchor="top:~:text=6.%20%D0%A0%D1%96%D1%88%D0%B5%D0%BD%D0%BD%D1%8F%20%D0%BF%D1%80%D0%BE%20%D0%BF%D1%80%D0%BE%D0%B2%D0%B5%D0%B4%D0%B5%D0%BD%D0%BD%D1%8F%20%D0%B0%D1%83%D0%BA%D1%86%D1%96%D0%BE%D0%BD%D1%83%20%D0%BF%D1%80%D0%B8%D0%B9%D0%BC%D0%B0%D1%94%D1%82%D1%8C%D1%81%D1%8F%20%D0%94%D0%B5%D1%80%D0%B6%D0%B3%D0%B5%D0%BE%D0%BD%D0%B0%D0%B4%D1%80%D0%B0%D0%BC%D0%B8%20%D0%B7%20%D1%83%D1%80%D0%B0%D1%85%D1%83%D0%B2%D0%B0%D0%BD%D0%BD%D1%8F%D0%BC%20%D0%B2%D0%B8%D0%BC%D0%BE%D0%B3%20%D1%82%D0%B0%20%D1%81%D1%82%D1%80%D0%BE%D0%BA%D1%96%D0%B2%2C%20%D0%BF%D0%B5%D1%80%D0%B5%D0%B4%D0%B1%D0%B0%D1%87%D0%B5%D0%BD%D0%B8%D1%85%20%D0%9A%D0%BE%D0%B4%D0%B5%D0%BA%D1%81%D0%BE%D0%BC%20%D0%A3%D0%BA%D1%80%D0%B0%D1%97%D0%BD%D0%B8%20%D0%BF%D1%80%D0%BE%20%D0%BD%D0%B0%D0%B4%D1%80%D0%B0." w:history="1">
        <w:r w:rsidRPr="000461DC">
          <w:rPr>
            <w:rFonts w:ascii="Times New Roman" w:eastAsia="Calibri" w:hAnsi="Times New Roman" w:cs="Times New Roman"/>
            <w:color w:val="0563C1"/>
            <w:kern w:val="0"/>
            <w:sz w:val="28"/>
            <w:szCs w:val="28"/>
            <w:u w:val="single"/>
            <w14:ligatures w14:val="none"/>
          </w:rPr>
          <w:t>пункту 6 Порядку</w:t>
        </w:r>
      </w:hyperlink>
      <w:r w:rsidRPr="000461DC">
        <w:rPr>
          <w:rFonts w:ascii="Times New Roman" w:eastAsia="Calibri" w:hAnsi="Times New Roman" w:cs="Times New Roman"/>
          <w:kern w:val="0"/>
          <w:sz w:val="28"/>
          <w:szCs w:val="28"/>
          <w14:ligatures w14:val="none"/>
        </w:rPr>
        <w:t xml:space="preserve"> рішення про проведення аукціону приймається Держгеонадрами з урахуванням вимог та строків, передбачених Кодексом України про надра.</w:t>
      </w:r>
    </w:p>
    <w:p w14:paraId="4A403540" w14:textId="663EA5B8" w:rsidR="00EF24F9" w:rsidRPr="000461DC" w:rsidRDefault="00DF3717"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Також, </w:t>
      </w:r>
      <w:r w:rsidR="000461DC" w:rsidRPr="000461DC">
        <w:rPr>
          <w:rFonts w:ascii="Times New Roman" w:eastAsia="Calibri" w:hAnsi="Times New Roman" w:cs="Times New Roman"/>
          <w:kern w:val="0"/>
          <w:sz w:val="28"/>
          <w:szCs w:val="28"/>
          <w14:ligatures w14:val="none"/>
        </w:rPr>
        <w:t xml:space="preserve">відповідно до прийнятих змін, </w:t>
      </w:r>
      <w:r w:rsidRPr="000461DC">
        <w:rPr>
          <w:rFonts w:ascii="Times New Roman" w:eastAsia="Calibri" w:hAnsi="Times New Roman" w:cs="Times New Roman"/>
          <w:kern w:val="0"/>
          <w:sz w:val="28"/>
          <w:szCs w:val="28"/>
          <w14:ligatures w14:val="none"/>
        </w:rPr>
        <w:t xml:space="preserve">скорочуються ряд строків, що пов’язані з оголошенням першого та наступних аукціонів. </w:t>
      </w:r>
      <w:r w:rsidR="00EF24F9" w:rsidRPr="000461DC">
        <w:rPr>
          <w:rFonts w:ascii="Times New Roman" w:eastAsia="Calibri" w:hAnsi="Times New Roman" w:cs="Times New Roman"/>
          <w:kern w:val="0"/>
          <w:sz w:val="28"/>
          <w:szCs w:val="28"/>
          <w14:ligatures w14:val="none"/>
        </w:rPr>
        <w:t>Відповідно до пункту 13 Порядку аукціон проводиться системою електронних торгів з продажу дозволів:</w:t>
      </w:r>
    </w:p>
    <w:p w14:paraId="0623270C" w14:textId="77777777" w:rsidR="00EF24F9" w:rsidRPr="000461DC" w:rsidRDefault="00EF24F9" w:rsidP="000461DC">
      <w:pPr>
        <w:pStyle w:val="a3"/>
        <w:numPr>
          <w:ilvl w:val="0"/>
          <w:numId w:val="4"/>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через </w:t>
      </w:r>
      <w:r w:rsidRPr="000461DC">
        <w:rPr>
          <w:rFonts w:ascii="Times New Roman" w:eastAsia="Calibri" w:hAnsi="Times New Roman" w:cs="Times New Roman"/>
          <w:kern w:val="0"/>
          <w:sz w:val="28"/>
          <w:szCs w:val="28"/>
          <w:u w:val="single"/>
          <w14:ligatures w14:val="none"/>
        </w:rPr>
        <w:t>90 календарних днів</w:t>
      </w:r>
      <w:r w:rsidRPr="000461DC">
        <w:rPr>
          <w:rFonts w:ascii="Times New Roman" w:eastAsia="Calibri" w:hAnsi="Times New Roman" w:cs="Times New Roman"/>
          <w:kern w:val="0"/>
          <w:sz w:val="28"/>
          <w:szCs w:val="28"/>
          <w14:ligatures w14:val="none"/>
        </w:rPr>
        <w:t xml:space="preserve"> з дати розміщення оголошення про проведення аукціону (для нафти, природного газу, конденсату), включаючи день розміщення оголошення про аукціон в системі електронних торгів з продажу дозволів та на офіційному веб-сайті Держгеонадр;</w:t>
      </w:r>
    </w:p>
    <w:p w14:paraId="75C398FF" w14:textId="77777777" w:rsidR="00EF24F9" w:rsidRPr="000461DC" w:rsidRDefault="00EF24F9" w:rsidP="000461DC">
      <w:pPr>
        <w:pStyle w:val="a3"/>
        <w:numPr>
          <w:ilvl w:val="0"/>
          <w:numId w:val="4"/>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через </w:t>
      </w:r>
      <w:r w:rsidRPr="000461DC">
        <w:rPr>
          <w:rFonts w:ascii="Times New Roman" w:eastAsia="Calibri" w:hAnsi="Times New Roman" w:cs="Times New Roman"/>
          <w:kern w:val="0"/>
          <w:sz w:val="28"/>
          <w:szCs w:val="28"/>
          <w:u w:val="single"/>
          <w14:ligatures w14:val="none"/>
        </w:rPr>
        <w:t>60 календарних днів</w:t>
      </w:r>
      <w:r w:rsidRPr="000461DC">
        <w:rPr>
          <w:rFonts w:ascii="Times New Roman" w:eastAsia="Calibri" w:hAnsi="Times New Roman" w:cs="Times New Roman"/>
          <w:kern w:val="0"/>
          <w:sz w:val="28"/>
          <w:szCs w:val="28"/>
          <w14:ligatures w14:val="none"/>
        </w:rPr>
        <w:t xml:space="preserve"> з дати розміщення оголошення про проведення аукціону (для ділянок надр (родовищ корисних копалин), які мають стратегічне значення для сталого розвитку економіки та обороноздатності держави), включаючи день розміщення оголошення про аукціон в системі електронних торгів з продажу дозволів та на офіційному веб-сайті Держгеонадр;</w:t>
      </w:r>
    </w:p>
    <w:p w14:paraId="49DEA5E7" w14:textId="77777777" w:rsidR="00EF24F9" w:rsidRPr="000461DC" w:rsidRDefault="00EF24F9" w:rsidP="000461DC">
      <w:pPr>
        <w:pStyle w:val="a3"/>
        <w:numPr>
          <w:ilvl w:val="0"/>
          <w:numId w:val="4"/>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через </w:t>
      </w:r>
      <w:r w:rsidRPr="000461DC">
        <w:rPr>
          <w:rFonts w:ascii="Times New Roman" w:eastAsia="Calibri" w:hAnsi="Times New Roman" w:cs="Times New Roman"/>
          <w:kern w:val="0"/>
          <w:sz w:val="28"/>
          <w:szCs w:val="28"/>
          <w:u w:val="single"/>
          <w14:ligatures w14:val="none"/>
        </w:rPr>
        <w:t>20 календарних днів</w:t>
      </w:r>
      <w:r w:rsidRPr="000461DC">
        <w:rPr>
          <w:rFonts w:ascii="Times New Roman" w:eastAsia="Calibri" w:hAnsi="Times New Roman" w:cs="Times New Roman"/>
          <w:kern w:val="0"/>
          <w:sz w:val="28"/>
          <w:szCs w:val="28"/>
          <w14:ligatures w14:val="none"/>
        </w:rPr>
        <w:t xml:space="preserve"> з дати розміщення оголошення про проведення аукціону (для всіх інших корисних копалин), включаючи день розміщення оголошення про аукціон в системі електронних торгів з продажу дозволів та на офіційному веб-сайті Держгеонадр.</w:t>
      </w:r>
    </w:p>
    <w:p w14:paraId="45293F9C" w14:textId="7777777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lastRenderedPageBreak/>
        <w:t>Повторний аукціон оголошується протягом трьох робочих днів після визнання першого аукціону таким, що не відбувся, та проводиться через 15 календарних днів з дати розміщення оголошення про проведення повторного аукціону, включаючи день розміщення оголошення про аукціон в системі електронних торгів з продажу дозволів та на офіційному веб-сайті Держгеонадр.</w:t>
      </w:r>
    </w:p>
    <w:p w14:paraId="61F5F4FB" w14:textId="7777777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Другий повторний аукціон оголошується протягом трьох робочих днів після визнання повторного аукціону таким, що не відбувся, та проводиться через 15 календарних днів з дати розміщення оголошення про проведення другого повторного аукціону, включаючи день розміщення оголошення про аукціон в системі електронних торгів з продажу дозволів та на офіційному веб-сайті Держгеонадр.</w:t>
      </w:r>
    </w:p>
    <w:p w14:paraId="5868351D" w14:textId="27FC8EF9"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У разі коли останній день строків, зазначених у цьому пункті, припадає на вихідний, святковий або інший неробочий день, останнім днем строку є перший після нього робочий день.</w:t>
      </w:r>
    </w:p>
    <w:p w14:paraId="507DFA02" w14:textId="5F796F24"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Відповідно до пункту 16 Порядку для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w:t>
      </w:r>
    </w:p>
    <w:p w14:paraId="1D398227" w14:textId="7777777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У заявці для участі в аукціоні обов’язково зазначається реєстраційний номер лота, щодо якого подається заявка.</w:t>
      </w:r>
    </w:p>
    <w:p w14:paraId="1793B1E2" w14:textId="7777777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Після проходження процедури реєстрації та подання заявки заявник сплачує гарантійний внесок у будь-якій установі банку на підставі сформованого організатором (оператором) в особистому кабінеті заявника рахунка або безпосередньо на електронному майданчику за допомогою платіжних систем, якщо функціонал електронного майданчика забезпечує таку можливість.</w:t>
      </w:r>
    </w:p>
    <w:p w14:paraId="00A100A8" w14:textId="23DDC401" w:rsidR="00EF24F9" w:rsidRPr="000461DC" w:rsidRDefault="00DF3717"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hAnsi="Times New Roman" w:cs="Times New Roman"/>
          <w:sz w:val="28"/>
          <w:szCs w:val="28"/>
        </w:rPr>
        <w:t>Також, відповідно до прийнятих змін, р</w:t>
      </w:r>
      <w:r w:rsidR="00EF24F9" w:rsidRPr="000461DC">
        <w:rPr>
          <w:rFonts w:ascii="Times New Roman" w:eastAsia="Calibri" w:hAnsi="Times New Roman" w:cs="Times New Roman"/>
          <w:kern w:val="0"/>
          <w:sz w:val="28"/>
          <w:szCs w:val="28"/>
          <w14:ligatures w14:val="none"/>
        </w:rPr>
        <w:t>озмір гарантійного внеску становить 20 відсотків початкової ціни лота, але не менше 10000000 (десяти мільйонів) гривень для корисних копалин, які мають стратегічне значення для сталого розвитку економіки та обороноздатності держави, 20000000 (двадцяти мільйонів) гривень для вуглеводнів, 2000000 (двох мільйонів) гривень для родовищ та/або ділянок надр, що містять пісок, та 1000000 (одного мільйона) гривень для інших корисних копалин (крім лота з продажу спеціального дозволу на геологічне вивчення, в тому числі дослідно-промислову розробку, видобування підземних вод (у тому числі мінеральних) для всіх потреб).</w:t>
      </w:r>
    </w:p>
    <w:p w14:paraId="7BB52BD8" w14:textId="7777777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Для кожного повторного аукціону суми, визначені в абзаці четвертому цього пункту, збільшуються в два рази для повторного аукціону, в п’ять разів для другого повторного аукціону, в 15 разів для кожного подальшого повторного аукціону.</w:t>
      </w:r>
    </w:p>
    <w:p w14:paraId="5F56DE8C" w14:textId="7777777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Якщо розмір гарантійного внеску більший за ціну реалізації лота, то виплата різниці здійснюється згідно з пунктом 32 цього Порядку.</w:t>
      </w:r>
    </w:p>
    <w:p w14:paraId="0C5E8FE2" w14:textId="7777777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lastRenderedPageBreak/>
        <w:t>Якщо повторні аукціони проводяться у зв’язку з визнанням аукціону таким, що не відбувся, з підстав позбавлення переможця права на отримання дозволу у випадках, передбачених пунктом 30 цього Порядку, розмір гарантійного внеску для цього лота на повторних аукціонах становить 40 відсотків початкової ціни лота, але не менше відповідних сум, зазначених в абзаці п’ятому цього пункту.</w:t>
      </w:r>
    </w:p>
    <w:p w14:paraId="5BB361A1" w14:textId="7777777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У разі позбавлення переможців, визначених згідно з пунктом 22 цього Порядку, права на отримання дозволу у випадках, передбачених пунктом 30 та абзацом третім пункту 33 цього Порядку, розмір гарантійного внеску для цього лота на повторних аукціонах становить 40 відсотків початкової ціни лота, при цьому початкова ціна лота повторних аукціонів становить 100 відсотків першої початкової ціни такого лота.</w:t>
      </w:r>
    </w:p>
    <w:p w14:paraId="42E3A78A" w14:textId="41DC05E7"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Сплата гарантійного внеску повинна бути підтверджена до завершення строку приймання заявок для участі в аукціоні.</w:t>
      </w:r>
    </w:p>
    <w:p w14:paraId="10515320" w14:textId="6F6F24B8"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Разом з тим, відповідно до пункту 30 Порядку переможець позбавляється права на отримання дозволу (при цьому сума гарантійного внеску не повертається) у разі:</w:t>
      </w:r>
    </w:p>
    <w:p w14:paraId="50D72013" w14:textId="77777777" w:rsidR="00EF24F9" w:rsidRPr="000461DC" w:rsidRDefault="00EF24F9" w:rsidP="000461DC">
      <w:pPr>
        <w:pStyle w:val="a3"/>
        <w:numPr>
          <w:ilvl w:val="0"/>
          <w:numId w:val="1"/>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невнесення в установлений строк належної до сплати різниці між ціною реалізації лота та гарантійним внеском та/або вартості геологічної інформації, та/або вартості пакета аукціонної документації, та/або винагороди оператору, через якого переможець аукціону набув право на участь в аукціоні;</w:t>
      </w:r>
    </w:p>
    <w:p w14:paraId="6EA90203" w14:textId="77777777" w:rsidR="00EF24F9" w:rsidRPr="000461DC" w:rsidRDefault="00EF24F9" w:rsidP="000461DC">
      <w:pPr>
        <w:pStyle w:val="a3"/>
        <w:numPr>
          <w:ilvl w:val="0"/>
          <w:numId w:val="1"/>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якщо переможець відмовився від підписання протоколу або договору купівлі-продажу дозволу чи договору купівлі-продажу дозволу з відкладальною обставиною, чи не підписав їх в установлений строк;</w:t>
      </w:r>
    </w:p>
    <w:p w14:paraId="15870494" w14:textId="4E0A8C05" w:rsidR="00EF24F9" w:rsidRPr="000461DC" w:rsidRDefault="00EF24F9" w:rsidP="000461DC">
      <w:pPr>
        <w:pStyle w:val="a3"/>
        <w:numPr>
          <w:ilvl w:val="0"/>
          <w:numId w:val="1"/>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коли на заявника - фізичну особу - підприємця, заявника - юридичну особу або її посадових осіб (керівника, його заступників та осіб, що їх заміщують) чи її засновників (юридичних та фізичних осіб) або на заявника - іноземну юридичну особу поширюються спеціальні економічні та інші обмежувальні заходи (санкції) згідно із Законом України «Про санкції» та актами, прийнятими відповідно до зазначеного Закону;</w:t>
      </w:r>
    </w:p>
    <w:p w14:paraId="37B5FF52" w14:textId="77777777" w:rsidR="00EF24F9" w:rsidRPr="000461DC" w:rsidRDefault="00EF24F9" w:rsidP="000461DC">
      <w:pPr>
        <w:pStyle w:val="a3"/>
        <w:numPr>
          <w:ilvl w:val="0"/>
          <w:numId w:val="1"/>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непроведення реєстрації свого представництва протягом чотирьох місяців з дати підписання договору купівлі-продажу дозволу з відкладальною обставиною у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p>
    <w:p w14:paraId="0BA39486" w14:textId="77777777" w:rsidR="00EF24F9" w:rsidRPr="000461DC" w:rsidRDefault="00EF24F9" w:rsidP="000461DC">
      <w:pPr>
        <w:pStyle w:val="a3"/>
        <w:numPr>
          <w:ilvl w:val="0"/>
          <w:numId w:val="1"/>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lastRenderedPageBreak/>
        <w:t>надходження інформації від правоохоронних органів та суб’єктів фінансового моніторингу, що переможець аукціону здійснює фінансування тероризму в Україні;</w:t>
      </w:r>
    </w:p>
    <w:p w14:paraId="293616FF" w14:textId="7BB7BC3F" w:rsidR="00EF24F9" w:rsidRPr="000461DC" w:rsidRDefault="00EF24F9" w:rsidP="000461DC">
      <w:pPr>
        <w:pStyle w:val="a3"/>
        <w:numPr>
          <w:ilvl w:val="0"/>
          <w:numId w:val="1"/>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відсутності в публічному доступі Єдиного державного реєстру юридичних осіб, фізичних осіб - підприємців та громадських формувань відомостей про кінцевого бенефіціарного власника або інформації про його відсутність та/або наявності розбіжностей між відомостями про кінцевого бенефіціарного власника, які містяться в публічному доступі Єдиного державного реєстру юридичних осіб, фізичних осіб - підприємців та громадських формувань, з інформацією (даними), що дає змогу встановити кінцевого бенефіціарного власника, поданою заявником, а у випадку зареєстрованого іноземного представництва - інформації про кінцевого бенефіціарного власника відповідно до Закону України «Про забезпечення прозорості у видобувних галузях»;</w:t>
      </w:r>
    </w:p>
    <w:p w14:paraId="68EA5BFB" w14:textId="119EF2B2" w:rsidR="00EF24F9" w:rsidRPr="000461DC" w:rsidRDefault="00EF24F9" w:rsidP="000461DC">
      <w:pPr>
        <w:pStyle w:val="a3"/>
        <w:numPr>
          <w:ilvl w:val="0"/>
          <w:numId w:val="1"/>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коли стосовно переможця наявні обмеження щодо можливості набувати права користування надрами, визначені частинами третьою - п’ятою статті 13 Кодексу України про надра.</w:t>
      </w:r>
    </w:p>
    <w:p w14:paraId="48EC6BE9" w14:textId="133BF0A8" w:rsidR="00EF24F9" w:rsidRPr="000461DC" w:rsidRDefault="00A4554B"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Пунктом 34 Порядку передбачено, що а</w:t>
      </w:r>
      <w:r w:rsidR="00EF24F9" w:rsidRPr="000461DC">
        <w:rPr>
          <w:rFonts w:ascii="Times New Roman" w:eastAsia="Calibri" w:hAnsi="Times New Roman" w:cs="Times New Roman"/>
          <w:kern w:val="0"/>
          <w:sz w:val="28"/>
          <w:szCs w:val="28"/>
          <w14:ligatures w14:val="none"/>
        </w:rPr>
        <w:t>укціон вважається таким, що не відбувся, у разі:</w:t>
      </w:r>
    </w:p>
    <w:p w14:paraId="35E58A10" w14:textId="77777777" w:rsidR="00EF24F9" w:rsidRPr="000461DC" w:rsidRDefault="00EF24F9" w:rsidP="000461DC">
      <w:pPr>
        <w:pStyle w:val="a3"/>
        <w:numPr>
          <w:ilvl w:val="0"/>
          <w:numId w:val="3"/>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відсутності учасників;</w:t>
      </w:r>
    </w:p>
    <w:p w14:paraId="6F30EBD7" w14:textId="77777777" w:rsidR="00EF24F9" w:rsidRPr="000461DC" w:rsidRDefault="00EF24F9" w:rsidP="000461DC">
      <w:pPr>
        <w:pStyle w:val="a3"/>
        <w:numPr>
          <w:ilvl w:val="0"/>
          <w:numId w:val="3"/>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коли до завершення строку прийняття заявок для участі в аукціоні подано менш як дві заявки, крім випадків, передбачених пунктом 20 цього Порядку;</w:t>
      </w:r>
    </w:p>
    <w:p w14:paraId="6EE618A7" w14:textId="77777777" w:rsidR="00EF24F9" w:rsidRPr="000461DC" w:rsidRDefault="00EF24F9" w:rsidP="000461DC">
      <w:pPr>
        <w:pStyle w:val="a3"/>
        <w:numPr>
          <w:ilvl w:val="0"/>
          <w:numId w:val="3"/>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коли за результатами аукціону жоден учасник не зробив крок аукціону;</w:t>
      </w:r>
    </w:p>
    <w:p w14:paraId="7609F0ED" w14:textId="77777777" w:rsidR="00EF24F9" w:rsidRPr="000461DC" w:rsidRDefault="00EF24F9" w:rsidP="000461DC">
      <w:pPr>
        <w:pStyle w:val="a3"/>
        <w:numPr>
          <w:ilvl w:val="0"/>
          <w:numId w:val="3"/>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коли до завершення аукціону не надійшла жодна цінова пропозиція, а також у випадках, передбачених пунктом 30 цього Порядку, з дотриманням положень, визначених пунктом 31 цього Порядку;</w:t>
      </w:r>
    </w:p>
    <w:p w14:paraId="43A6DBC9" w14:textId="77777777" w:rsidR="00EF24F9" w:rsidRPr="000461DC" w:rsidRDefault="00EF24F9" w:rsidP="000461DC">
      <w:pPr>
        <w:pStyle w:val="a3"/>
        <w:numPr>
          <w:ilvl w:val="0"/>
          <w:numId w:val="3"/>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коли переможець не має права бути користувачем надр відповідно до частин третьої - п’ятої статті 13 Кодексу України про надра;</w:t>
      </w:r>
    </w:p>
    <w:p w14:paraId="42B34512" w14:textId="77777777" w:rsidR="00EF24F9" w:rsidRPr="000461DC" w:rsidRDefault="00EF24F9" w:rsidP="000461DC">
      <w:pPr>
        <w:pStyle w:val="a3"/>
        <w:numPr>
          <w:ilvl w:val="0"/>
          <w:numId w:val="3"/>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коли учасник з наступною за величиною ціновою пропозицією, який був визнаний переможцем, позбавляється права на отримання дозволу або відмовився від підписання договору купівлі-продажу дозволу чи договору купівлі-продажу дозволу з відкладальною обставиною, або не підписав такий договір в установлені строки.</w:t>
      </w:r>
    </w:p>
    <w:p w14:paraId="0E82D76C" w14:textId="6649AAE2" w:rsidR="00EF24F9" w:rsidRPr="000461DC" w:rsidRDefault="00EF24F9"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Також </w:t>
      </w:r>
      <w:r w:rsidR="00A4554B" w:rsidRPr="000461DC">
        <w:rPr>
          <w:rFonts w:ascii="Times New Roman" w:eastAsia="Calibri" w:hAnsi="Times New Roman" w:cs="Times New Roman"/>
          <w:kern w:val="0"/>
          <w:sz w:val="28"/>
          <w:szCs w:val="28"/>
          <w14:ligatures w14:val="none"/>
        </w:rPr>
        <w:t xml:space="preserve">відповідно до пункту </w:t>
      </w:r>
      <w:r w:rsidRPr="000461DC">
        <w:rPr>
          <w:rFonts w:ascii="Times New Roman" w:eastAsia="Calibri" w:hAnsi="Times New Roman" w:cs="Times New Roman"/>
          <w:kern w:val="0"/>
          <w:sz w:val="28"/>
          <w:szCs w:val="28"/>
          <w14:ligatures w14:val="none"/>
        </w:rPr>
        <w:t>35</w:t>
      </w:r>
      <w:r w:rsidR="00A4554B" w:rsidRPr="000461DC">
        <w:rPr>
          <w:rFonts w:ascii="Times New Roman" w:eastAsia="Calibri" w:hAnsi="Times New Roman" w:cs="Times New Roman"/>
          <w:kern w:val="0"/>
          <w:sz w:val="28"/>
          <w:szCs w:val="28"/>
          <w14:ligatures w14:val="none"/>
        </w:rPr>
        <w:t xml:space="preserve"> Порядку п</w:t>
      </w:r>
      <w:r w:rsidRPr="000461DC">
        <w:rPr>
          <w:rFonts w:ascii="Times New Roman" w:eastAsia="Calibri" w:hAnsi="Times New Roman" w:cs="Times New Roman"/>
          <w:kern w:val="0"/>
          <w:sz w:val="28"/>
          <w:szCs w:val="28"/>
          <w14:ligatures w14:val="none"/>
        </w:rPr>
        <w:t>ідставою для зняття лота з продажу Держгеонадрами є:</w:t>
      </w:r>
    </w:p>
    <w:p w14:paraId="2454A48B" w14:textId="77777777" w:rsidR="00EF24F9" w:rsidRPr="000461DC" w:rsidRDefault="00EF24F9" w:rsidP="000461DC">
      <w:pPr>
        <w:pStyle w:val="a3"/>
        <w:numPr>
          <w:ilvl w:val="0"/>
          <w:numId w:val="2"/>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наявність рішення суду, яке набрало законної сили;</w:t>
      </w:r>
    </w:p>
    <w:p w14:paraId="508B4A46" w14:textId="77777777" w:rsidR="00EF24F9" w:rsidRPr="000461DC" w:rsidRDefault="00EF24F9" w:rsidP="000461DC">
      <w:pPr>
        <w:pStyle w:val="a3"/>
        <w:numPr>
          <w:ilvl w:val="0"/>
          <w:numId w:val="2"/>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lastRenderedPageBreak/>
        <w:t>визнання в установленому законодавством порядку протиправними дій та/або скасування рішень Міндовкілля стосовно погоджень щодо визначення переліку ділянок надр, дозволи на користування якими виставляються на аукціон для надання спеціального дозволу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w:t>
      </w:r>
    </w:p>
    <w:p w14:paraId="422F9091" w14:textId="77777777" w:rsidR="00EF24F9" w:rsidRPr="000461DC" w:rsidRDefault="00EF24F9" w:rsidP="000461DC">
      <w:pPr>
        <w:pStyle w:val="a3"/>
        <w:numPr>
          <w:ilvl w:val="0"/>
          <w:numId w:val="2"/>
        </w:numPr>
        <w:spacing w:after="0" w:line="276" w:lineRule="auto"/>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зміна виду користування надрами, визначеного законодавчими актами.</w:t>
      </w:r>
    </w:p>
    <w:p w14:paraId="5B2C16DF" w14:textId="01D79B88"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Також зазначаємо, що відповідно до абзацу 14,15 статті 16 Кодексу спеціальний дозвіл на видобування корисних копалин надається після проведення експертизи та оцінки розвіданих запасів корисних копалин у встановленому законодавством порядку чи апробації прогнозних (перспективних) ресурсів корисних копалин Державною комісією України по запасах корисних копалин, за умови подальшого затвердження нею таких запасів, на підставі спеціального дозволу на користування надрами. </w:t>
      </w:r>
    </w:p>
    <w:p w14:paraId="45765343" w14:textId="77777777"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Надрокористувач, якому надано спеціальний дозвіл на видобування корисних копалин, має право проводити дорозвідку (довивчення) родовищ у межах наданої йому ділянки надр. </w:t>
      </w:r>
    </w:p>
    <w:p w14:paraId="6764FA8B" w14:textId="0A74553D" w:rsidR="009B269E" w:rsidRPr="000461DC" w:rsidRDefault="009B269E" w:rsidP="000461DC">
      <w:pPr>
        <w:spacing w:after="0" w:line="276" w:lineRule="auto"/>
        <w:ind w:firstLine="709"/>
        <w:jc w:val="both"/>
        <w:rPr>
          <w:rFonts w:ascii="Times New Roman" w:eastAsia="Calibri" w:hAnsi="Times New Roman" w:cs="Times New Roman"/>
          <w:kern w:val="0"/>
          <w:sz w:val="28"/>
          <w:szCs w:val="28"/>
          <w14:ligatures w14:val="none"/>
        </w:rPr>
      </w:pPr>
      <w:r w:rsidRPr="000461DC">
        <w:rPr>
          <w:rFonts w:ascii="Times New Roman" w:eastAsia="Calibri" w:hAnsi="Times New Roman" w:cs="Times New Roman"/>
          <w:kern w:val="0"/>
          <w:sz w:val="28"/>
          <w:szCs w:val="28"/>
          <w14:ligatures w14:val="none"/>
        </w:rPr>
        <w:t xml:space="preserve">Спеціальний дозвіл на видобування корисних копалин (аукціон/без аукціону) надається відповідно до абзацу 14,15 статті 16 Кодексу ‒ виключно в випадку затвердження/апробації запасів ДКЗ України. </w:t>
      </w:r>
    </w:p>
    <w:p w14:paraId="13BA148E" w14:textId="165B04E6" w:rsidR="00EA0E47" w:rsidRPr="00A4554B" w:rsidRDefault="00EA0E47" w:rsidP="000461DC">
      <w:pPr>
        <w:spacing w:after="0" w:line="276" w:lineRule="auto"/>
        <w:ind w:firstLine="709"/>
        <w:jc w:val="both"/>
        <w:rPr>
          <w:rFonts w:ascii="Times New Roman" w:eastAsia="Calibri" w:hAnsi="Times New Roman" w:cs="Times New Roman"/>
          <w:color w:val="000000"/>
          <w:kern w:val="0"/>
          <w:sz w:val="28"/>
          <w:szCs w:val="28"/>
          <w14:ligatures w14:val="none"/>
        </w:rPr>
      </w:pPr>
    </w:p>
    <w:sectPr w:rsidR="00EA0E47" w:rsidRPr="00A4554B" w:rsidSect="009F199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E3F6F" w14:textId="77777777" w:rsidR="009F199D" w:rsidRDefault="009F199D" w:rsidP="00DF3717">
      <w:pPr>
        <w:spacing w:after="0" w:line="240" w:lineRule="auto"/>
      </w:pPr>
      <w:r>
        <w:separator/>
      </w:r>
    </w:p>
  </w:endnote>
  <w:endnote w:type="continuationSeparator" w:id="0">
    <w:p w14:paraId="090AC002" w14:textId="77777777" w:rsidR="009F199D" w:rsidRDefault="009F199D" w:rsidP="00DF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6A77E" w14:textId="77777777" w:rsidR="009F199D" w:rsidRDefault="009F199D" w:rsidP="00DF3717">
      <w:pPr>
        <w:spacing w:after="0" w:line="240" w:lineRule="auto"/>
      </w:pPr>
      <w:r>
        <w:separator/>
      </w:r>
    </w:p>
  </w:footnote>
  <w:footnote w:type="continuationSeparator" w:id="0">
    <w:p w14:paraId="482CD5A3" w14:textId="77777777" w:rsidR="009F199D" w:rsidRDefault="009F199D" w:rsidP="00DF3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791362"/>
      <w:docPartObj>
        <w:docPartGallery w:val="Page Numbers (Top of Page)"/>
        <w:docPartUnique/>
      </w:docPartObj>
    </w:sdtPr>
    <w:sdtEndPr>
      <w:rPr>
        <w:rFonts w:ascii="Times New Roman" w:hAnsi="Times New Roman" w:cs="Times New Roman"/>
        <w:sz w:val="28"/>
        <w:szCs w:val="28"/>
      </w:rPr>
    </w:sdtEndPr>
    <w:sdtContent>
      <w:p w14:paraId="66941C26" w14:textId="1E682D7D" w:rsidR="00DF3717" w:rsidRPr="00DF3717" w:rsidRDefault="00DF3717">
        <w:pPr>
          <w:pStyle w:val="a4"/>
          <w:jc w:val="center"/>
          <w:rPr>
            <w:rFonts w:ascii="Times New Roman" w:hAnsi="Times New Roman" w:cs="Times New Roman"/>
            <w:sz w:val="28"/>
            <w:szCs w:val="28"/>
          </w:rPr>
        </w:pPr>
        <w:r w:rsidRPr="00DF3717">
          <w:rPr>
            <w:rFonts w:ascii="Times New Roman" w:hAnsi="Times New Roman" w:cs="Times New Roman"/>
            <w:sz w:val="28"/>
            <w:szCs w:val="28"/>
          </w:rPr>
          <w:fldChar w:fldCharType="begin"/>
        </w:r>
        <w:r w:rsidRPr="00DF3717">
          <w:rPr>
            <w:rFonts w:ascii="Times New Roman" w:hAnsi="Times New Roman" w:cs="Times New Roman"/>
            <w:sz w:val="28"/>
            <w:szCs w:val="28"/>
          </w:rPr>
          <w:instrText>PAGE   \* MERGEFORMAT</w:instrText>
        </w:r>
        <w:r w:rsidRPr="00DF3717">
          <w:rPr>
            <w:rFonts w:ascii="Times New Roman" w:hAnsi="Times New Roman" w:cs="Times New Roman"/>
            <w:sz w:val="28"/>
            <w:szCs w:val="28"/>
          </w:rPr>
          <w:fldChar w:fldCharType="separate"/>
        </w:r>
        <w:r w:rsidRPr="00DF3717">
          <w:rPr>
            <w:rFonts w:ascii="Times New Roman" w:hAnsi="Times New Roman" w:cs="Times New Roman"/>
            <w:sz w:val="28"/>
            <w:szCs w:val="28"/>
          </w:rPr>
          <w:t>2</w:t>
        </w:r>
        <w:r w:rsidRPr="00DF3717">
          <w:rPr>
            <w:rFonts w:ascii="Times New Roman" w:hAnsi="Times New Roman" w:cs="Times New Roman"/>
            <w:sz w:val="28"/>
            <w:szCs w:val="28"/>
          </w:rPr>
          <w:fldChar w:fldCharType="end"/>
        </w:r>
      </w:p>
    </w:sdtContent>
  </w:sdt>
  <w:p w14:paraId="4A1E86B2" w14:textId="77777777" w:rsidR="00DF3717" w:rsidRDefault="00DF37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78E"/>
    <w:multiLevelType w:val="hybridMultilevel"/>
    <w:tmpl w:val="2B0CCB0C"/>
    <w:lvl w:ilvl="0" w:tplc="EF7C11FC">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E4D28DD"/>
    <w:multiLevelType w:val="hybridMultilevel"/>
    <w:tmpl w:val="E1922AE0"/>
    <w:lvl w:ilvl="0" w:tplc="EF7C11FC">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2B824A79"/>
    <w:multiLevelType w:val="hybridMultilevel"/>
    <w:tmpl w:val="B2D4124C"/>
    <w:lvl w:ilvl="0" w:tplc="EF7C11FC">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63D25CA"/>
    <w:multiLevelType w:val="hybridMultilevel"/>
    <w:tmpl w:val="445C085A"/>
    <w:lvl w:ilvl="0" w:tplc="EF7C11FC">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907261195">
    <w:abstractNumId w:val="2"/>
  </w:num>
  <w:num w:numId="2" w16cid:durableId="1880435728">
    <w:abstractNumId w:val="1"/>
  </w:num>
  <w:num w:numId="3" w16cid:durableId="868487681">
    <w:abstractNumId w:val="3"/>
  </w:num>
  <w:num w:numId="4" w16cid:durableId="39690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47"/>
    <w:rsid w:val="000461DC"/>
    <w:rsid w:val="00142783"/>
    <w:rsid w:val="002F066E"/>
    <w:rsid w:val="003A0451"/>
    <w:rsid w:val="00461478"/>
    <w:rsid w:val="00995FEB"/>
    <w:rsid w:val="009B1153"/>
    <w:rsid w:val="009B269E"/>
    <w:rsid w:val="009F199D"/>
    <w:rsid w:val="00A42A6F"/>
    <w:rsid w:val="00A4554B"/>
    <w:rsid w:val="00AD6114"/>
    <w:rsid w:val="00B62CC8"/>
    <w:rsid w:val="00C15509"/>
    <w:rsid w:val="00DA645D"/>
    <w:rsid w:val="00DF3717"/>
    <w:rsid w:val="00EA0E47"/>
    <w:rsid w:val="00EE68A0"/>
    <w:rsid w:val="00EF24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4D7F"/>
  <w15:chartTrackingRefBased/>
  <w15:docId w15:val="{652F9671-FDC2-46DF-BD86-7B82159E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4F9"/>
    <w:pPr>
      <w:ind w:left="720"/>
      <w:contextualSpacing/>
    </w:pPr>
  </w:style>
  <w:style w:type="paragraph" w:styleId="a4">
    <w:name w:val="header"/>
    <w:basedOn w:val="a"/>
    <w:link w:val="a5"/>
    <w:uiPriority w:val="99"/>
    <w:unhideWhenUsed/>
    <w:rsid w:val="00DF3717"/>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F3717"/>
  </w:style>
  <w:style w:type="paragraph" w:styleId="a6">
    <w:name w:val="footer"/>
    <w:basedOn w:val="a"/>
    <w:link w:val="a7"/>
    <w:uiPriority w:val="99"/>
    <w:unhideWhenUsed/>
    <w:rsid w:val="00DF3717"/>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F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993-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12253</Words>
  <Characters>6985</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Федорівна Козирець</dc:creator>
  <cp:keywords/>
  <dc:description/>
  <cp:lastModifiedBy>Ірина Федорівна Козирець</cp:lastModifiedBy>
  <cp:revision>2</cp:revision>
  <dcterms:created xsi:type="dcterms:W3CDTF">2024-04-12T09:09:00Z</dcterms:created>
  <dcterms:modified xsi:type="dcterms:W3CDTF">2024-04-12T09:09:00Z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2023-10-19T10:11:32Z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c9ee08c8-f5b3-4399-8238-8506226f906c</vt:lpwstr>
  </property>
  <property fmtid="{D5CDD505-2E9C-101B-9397-08002B2CF9AE}" pid="8" name="MSIP_Label_defa4170-0d19-0005-0004-bc88714345d2_ContentBits">
    <vt:lpwstr>0</vt:lpwstr>
  </property>
</Properties>
</file>