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B62" w:rsidRDefault="006F46F7" w:rsidP="00942AE2">
      <w:pPr>
        <w:pStyle w:val="a3"/>
        <w:spacing w:after="0" w:line="240" w:lineRule="auto"/>
        <w:ind w:left="1077"/>
        <w:jc w:val="center"/>
        <w:rPr>
          <w:rFonts w:ascii="Times New Roman" w:hAnsi="Times New Roman" w:cs="Times New Roman"/>
          <w:b/>
          <w:sz w:val="28"/>
          <w:szCs w:val="28"/>
        </w:rPr>
      </w:pPr>
      <w:r>
        <w:rPr>
          <w:rFonts w:ascii="Times New Roman" w:hAnsi="Times New Roman" w:cs="Times New Roman"/>
          <w:b/>
          <w:sz w:val="28"/>
          <w:szCs w:val="28"/>
        </w:rPr>
        <w:t xml:space="preserve">Аналіз положень </w:t>
      </w:r>
      <w:r w:rsidR="00B77F95" w:rsidRPr="00303184">
        <w:rPr>
          <w:rFonts w:ascii="Times New Roman" w:hAnsi="Times New Roman" w:cs="Times New Roman"/>
          <w:b/>
          <w:sz w:val="28"/>
          <w:szCs w:val="28"/>
        </w:rPr>
        <w:t>Рекомендації</w:t>
      </w:r>
      <w:r w:rsidR="00997408" w:rsidRPr="00303184">
        <w:rPr>
          <w:rFonts w:ascii="Times New Roman" w:hAnsi="Times New Roman" w:cs="Times New Roman"/>
          <w:b/>
          <w:sz w:val="28"/>
          <w:szCs w:val="28"/>
        </w:rPr>
        <w:t xml:space="preserve"> Ради </w:t>
      </w:r>
      <w:r w:rsidR="0030470A" w:rsidRPr="00303184">
        <w:rPr>
          <w:rFonts w:ascii="Times New Roman" w:hAnsi="Times New Roman" w:cs="Times New Roman"/>
          <w:b/>
          <w:sz w:val="28"/>
          <w:szCs w:val="28"/>
        </w:rPr>
        <w:t xml:space="preserve">ОЕСР </w:t>
      </w:r>
      <w:r w:rsidR="00997408" w:rsidRPr="00303184">
        <w:rPr>
          <w:rFonts w:ascii="Times New Roman" w:hAnsi="Times New Roman" w:cs="Times New Roman"/>
          <w:b/>
          <w:sz w:val="28"/>
          <w:szCs w:val="28"/>
        </w:rPr>
        <w:t>щодо податкових заходів для подальшої боротьби з підкупом іноземних посадових осіб у міжнародних ділових операціях</w:t>
      </w:r>
      <w:r w:rsidR="00303184">
        <w:rPr>
          <w:rFonts w:ascii="Times New Roman" w:hAnsi="Times New Roman" w:cs="Times New Roman"/>
          <w:b/>
          <w:sz w:val="28"/>
          <w:szCs w:val="28"/>
        </w:rPr>
        <w:t xml:space="preserve"> </w:t>
      </w:r>
      <w:r w:rsidR="00303184">
        <w:rPr>
          <w:rFonts w:ascii="Times New Roman" w:hAnsi="Times New Roman" w:cs="Times New Roman"/>
          <w:b/>
          <w:sz w:val="28"/>
          <w:szCs w:val="28"/>
          <w:lang w:val="en-US"/>
        </w:rPr>
        <w:t>OECD/LEGAL/0371</w:t>
      </w:r>
      <w:r>
        <w:rPr>
          <w:rFonts w:ascii="Times New Roman" w:hAnsi="Times New Roman" w:cs="Times New Roman"/>
          <w:b/>
          <w:sz w:val="28"/>
          <w:szCs w:val="28"/>
        </w:rPr>
        <w:t xml:space="preserve"> </w:t>
      </w:r>
      <w:r w:rsidR="00127130">
        <w:rPr>
          <w:rFonts w:ascii="Times New Roman" w:hAnsi="Times New Roman" w:cs="Times New Roman"/>
          <w:b/>
          <w:sz w:val="28"/>
          <w:szCs w:val="28"/>
        </w:rPr>
        <w:t>з метою</w:t>
      </w:r>
      <w:r>
        <w:rPr>
          <w:rFonts w:ascii="Times New Roman" w:hAnsi="Times New Roman" w:cs="Times New Roman"/>
          <w:b/>
          <w:sz w:val="28"/>
          <w:szCs w:val="28"/>
        </w:rPr>
        <w:t xml:space="preserve"> визначення прогалин в українському законодавстві </w:t>
      </w:r>
    </w:p>
    <w:p w:rsidR="00A77A47" w:rsidRPr="006F46F7" w:rsidRDefault="00A77A47" w:rsidP="00942AE2">
      <w:pPr>
        <w:pStyle w:val="a3"/>
        <w:spacing w:after="0" w:line="240" w:lineRule="auto"/>
        <w:ind w:left="1077"/>
        <w:jc w:val="center"/>
        <w:rPr>
          <w:rFonts w:ascii="Times New Roman" w:hAnsi="Times New Roman" w:cs="Times New Roman"/>
          <w:b/>
          <w:sz w:val="28"/>
          <w:szCs w:val="28"/>
        </w:rPr>
      </w:pPr>
    </w:p>
    <w:tbl>
      <w:tblPr>
        <w:tblStyle w:val="a4"/>
        <w:tblW w:w="15304" w:type="dxa"/>
        <w:tblLook w:val="04A0" w:firstRow="1" w:lastRow="0" w:firstColumn="1" w:lastColumn="0" w:noHBand="0" w:noVBand="1"/>
      </w:tblPr>
      <w:tblGrid>
        <w:gridCol w:w="5949"/>
        <w:gridCol w:w="4678"/>
        <w:gridCol w:w="4677"/>
      </w:tblGrid>
      <w:tr w:rsidR="00572EDC" w:rsidRPr="00303184" w:rsidTr="0037497D">
        <w:trPr>
          <w:tblHeader/>
        </w:trPr>
        <w:tc>
          <w:tcPr>
            <w:tcW w:w="5949" w:type="dxa"/>
          </w:tcPr>
          <w:p w:rsidR="00A77A47" w:rsidRDefault="00A77A47" w:rsidP="00ED50D4">
            <w:pPr>
              <w:jc w:val="center"/>
              <w:rPr>
                <w:rFonts w:ascii="Times New Roman" w:hAnsi="Times New Roman" w:cs="Times New Roman"/>
                <w:b/>
                <w:sz w:val="24"/>
                <w:szCs w:val="24"/>
              </w:rPr>
            </w:pPr>
          </w:p>
          <w:p w:rsidR="00572EDC" w:rsidRPr="00303184" w:rsidRDefault="00DC2D99" w:rsidP="00ED50D4">
            <w:pPr>
              <w:jc w:val="center"/>
              <w:rPr>
                <w:rFonts w:ascii="Times New Roman" w:hAnsi="Times New Roman" w:cs="Times New Roman"/>
                <w:b/>
                <w:sz w:val="24"/>
                <w:szCs w:val="24"/>
              </w:rPr>
            </w:pPr>
            <w:r w:rsidRPr="00303184">
              <w:rPr>
                <w:rFonts w:ascii="Times New Roman" w:hAnsi="Times New Roman" w:cs="Times New Roman"/>
                <w:b/>
                <w:sz w:val="24"/>
                <w:szCs w:val="24"/>
              </w:rPr>
              <w:t>Рекомендації Ради ОЕСР</w:t>
            </w:r>
          </w:p>
        </w:tc>
        <w:tc>
          <w:tcPr>
            <w:tcW w:w="4678" w:type="dxa"/>
          </w:tcPr>
          <w:p w:rsidR="00572EDC" w:rsidRPr="00303184" w:rsidRDefault="0030470A" w:rsidP="0030470A">
            <w:pPr>
              <w:jc w:val="center"/>
              <w:rPr>
                <w:rFonts w:ascii="Times New Roman" w:hAnsi="Times New Roman" w:cs="Times New Roman"/>
                <w:b/>
                <w:sz w:val="24"/>
                <w:szCs w:val="24"/>
              </w:rPr>
            </w:pPr>
            <w:r w:rsidRPr="00303184">
              <w:rPr>
                <w:rFonts w:ascii="Times New Roman" w:hAnsi="Times New Roman" w:cs="Times New Roman"/>
                <w:b/>
                <w:sz w:val="24"/>
                <w:szCs w:val="24"/>
              </w:rPr>
              <w:t>Наявність/відсутність положення Рекомендації Ради ОЕСР в українському</w:t>
            </w:r>
            <w:r w:rsidR="00DC2D99" w:rsidRPr="00303184">
              <w:rPr>
                <w:rFonts w:ascii="Times New Roman" w:hAnsi="Times New Roman" w:cs="Times New Roman"/>
                <w:b/>
                <w:sz w:val="24"/>
                <w:szCs w:val="24"/>
              </w:rPr>
              <w:t xml:space="preserve"> законодавстві</w:t>
            </w:r>
          </w:p>
        </w:tc>
        <w:tc>
          <w:tcPr>
            <w:tcW w:w="4677" w:type="dxa"/>
          </w:tcPr>
          <w:p w:rsidR="00572EDC" w:rsidRPr="00303184" w:rsidRDefault="0030470A" w:rsidP="0030470A">
            <w:pPr>
              <w:jc w:val="center"/>
              <w:rPr>
                <w:rFonts w:ascii="Times New Roman" w:hAnsi="Times New Roman" w:cs="Times New Roman"/>
                <w:b/>
                <w:sz w:val="24"/>
                <w:szCs w:val="24"/>
              </w:rPr>
            </w:pPr>
            <w:r w:rsidRPr="00303184">
              <w:rPr>
                <w:rFonts w:ascii="Times New Roman" w:hAnsi="Times New Roman" w:cs="Times New Roman"/>
                <w:b/>
                <w:sz w:val="24"/>
                <w:szCs w:val="24"/>
              </w:rPr>
              <w:t>Спосіб (редакція) врахування положення Рекомендації Ради ОЕСР в українському законодавстві</w:t>
            </w:r>
            <w:r w:rsidR="00DC2D99" w:rsidRPr="00303184">
              <w:rPr>
                <w:rFonts w:ascii="Times New Roman" w:hAnsi="Times New Roman" w:cs="Times New Roman"/>
                <w:b/>
                <w:sz w:val="24"/>
                <w:szCs w:val="24"/>
              </w:rPr>
              <w:t xml:space="preserve"> у разі </w:t>
            </w:r>
            <w:r w:rsidRPr="00303184">
              <w:rPr>
                <w:rFonts w:ascii="Times New Roman" w:hAnsi="Times New Roman" w:cs="Times New Roman"/>
                <w:b/>
                <w:sz w:val="24"/>
                <w:szCs w:val="24"/>
              </w:rPr>
              <w:t>її відсутності</w:t>
            </w:r>
          </w:p>
        </w:tc>
      </w:tr>
      <w:tr w:rsidR="00303184" w:rsidRPr="00303184" w:rsidTr="0037497D">
        <w:tc>
          <w:tcPr>
            <w:tcW w:w="5949" w:type="dxa"/>
          </w:tcPr>
          <w:p w:rsidR="00303184" w:rsidRDefault="00303184" w:rsidP="00303184">
            <w:pPr>
              <w:jc w:val="both"/>
              <w:rPr>
                <w:rFonts w:ascii="Times New Roman" w:hAnsi="Times New Roman" w:cs="Times New Roman"/>
                <w:sz w:val="24"/>
                <w:szCs w:val="24"/>
              </w:rPr>
            </w:pPr>
            <w:r>
              <w:rPr>
                <w:rFonts w:ascii="Times New Roman" w:hAnsi="Times New Roman" w:cs="Times New Roman"/>
                <w:sz w:val="24"/>
                <w:szCs w:val="24"/>
              </w:rPr>
              <w:t>Рада,</w:t>
            </w:r>
          </w:p>
          <w:p w:rsidR="00303184" w:rsidRDefault="00303184" w:rsidP="00303184">
            <w:pPr>
              <w:jc w:val="both"/>
              <w:rPr>
                <w:rFonts w:ascii="Times New Roman" w:hAnsi="Times New Roman" w:cs="Times New Roman"/>
                <w:sz w:val="24"/>
                <w:szCs w:val="24"/>
              </w:rPr>
            </w:pPr>
            <w:r>
              <w:rPr>
                <w:rFonts w:ascii="Times New Roman" w:hAnsi="Times New Roman" w:cs="Times New Roman"/>
                <w:sz w:val="24"/>
                <w:szCs w:val="24"/>
              </w:rPr>
              <w:t>….</w:t>
            </w:r>
          </w:p>
          <w:p w:rsidR="00303184" w:rsidRDefault="005D7D64" w:rsidP="00303184">
            <w:pPr>
              <w:jc w:val="both"/>
              <w:rPr>
                <w:rFonts w:ascii="Times New Roman" w:hAnsi="Times New Roman" w:cs="Times New Roman"/>
                <w:sz w:val="24"/>
                <w:szCs w:val="24"/>
              </w:rPr>
            </w:pPr>
            <w:r>
              <w:rPr>
                <w:rFonts w:ascii="Times New Roman" w:hAnsi="Times New Roman" w:cs="Times New Roman"/>
                <w:sz w:val="24"/>
                <w:szCs w:val="24"/>
              </w:rPr>
              <w:t>За пропозицією Комітету з фіскальних питань та Комітету з інвестицій</w:t>
            </w:r>
          </w:p>
          <w:p w:rsidR="005D7D64" w:rsidRDefault="005D7D64" w:rsidP="00303184">
            <w:pPr>
              <w:jc w:val="both"/>
              <w:rPr>
                <w:rFonts w:ascii="Times New Roman" w:hAnsi="Times New Roman" w:cs="Times New Roman"/>
                <w:sz w:val="24"/>
                <w:szCs w:val="24"/>
              </w:rPr>
            </w:pPr>
          </w:p>
          <w:p w:rsidR="00303184" w:rsidRPr="00303184" w:rsidRDefault="00303184" w:rsidP="00303184">
            <w:pPr>
              <w:jc w:val="both"/>
              <w:rPr>
                <w:rFonts w:ascii="Times New Roman" w:hAnsi="Times New Roman" w:cs="Times New Roman"/>
                <w:sz w:val="24"/>
                <w:szCs w:val="24"/>
              </w:rPr>
            </w:pPr>
            <w:r>
              <w:rPr>
                <w:rFonts w:ascii="Times New Roman" w:hAnsi="Times New Roman" w:cs="Times New Roman"/>
                <w:sz w:val="24"/>
                <w:szCs w:val="24"/>
              </w:rPr>
              <w:t>І. Рекомендує:</w:t>
            </w:r>
          </w:p>
        </w:tc>
        <w:tc>
          <w:tcPr>
            <w:tcW w:w="4678" w:type="dxa"/>
          </w:tcPr>
          <w:p w:rsidR="00303184" w:rsidRDefault="00303184" w:rsidP="00303184">
            <w:pPr>
              <w:jc w:val="center"/>
              <w:rPr>
                <w:rFonts w:ascii="Times New Roman" w:hAnsi="Times New Roman" w:cs="Times New Roman"/>
                <w:sz w:val="24"/>
                <w:szCs w:val="24"/>
                <w:lang w:val="en-US"/>
              </w:rPr>
            </w:pPr>
          </w:p>
          <w:p w:rsidR="005D7D64" w:rsidRDefault="005D7D64" w:rsidP="00303184">
            <w:pPr>
              <w:jc w:val="center"/>
              <w:rPr>
                <w:rFonts w:ascii="Times New Roman" w:hAnsi="Times New Roman" w:cs="Times New Roman"/>
                <w:sz w:val="24"/>
                <w:szCs w:val="24"/>
                <w:lang w:val="en-US"/>
              </w:rPr>
            </w:pPr>
          </w:p>
          <w:p w:rsidR="00303184" w:rsidRPr="00303184" w:rsidRDefault="00303184" w:rsidP="0030318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677" w:type="dxa"/>
          </w:tcPr>
          <w:p w:rsidR="00303184" w:rsidRDefault="00303184" w:rsidP="00303184">
            <w:pPr>
              <w:jc w:val="center"/>
              <w:rPr>
                <w:rFonts w:ascii="Times New Roman" w:hAnsi="Times New Roman" w:cs="Times New Roman"/>
                <w:sz w:val="24"/>
                <w:szCs w:val="24"/>
                <w:lang w:val="en-US"/>
              </w:rPr>
            </w:pPr>
          </w:p>
          <w:p w:rsidR="005D7D64" w:rsidRDefault="005D7D64" w:rsidP="00303184">
            <w:pPr>
              <w:jc w:val="center"/>
              <w:rPr>
                <w:rFonts w:ascii="Times New Roman" w:hAnsi="Times New Roman" w:cs="Times New Roman"/>
                <w:sz w:val="24"/>
                <w:szCs w:val="24"/>
                <w:lang w:val="en-US"/>
              </w:rPr>
            </w:pPr>
          </w:p>
          <w:p w:rsidR="00303184" w:rsidRPr="00303184" w:rsidRDefault="00303184" w:rsidP="0030318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572EDC" w:rsidRPr="00303184" w:rsidTr="00CB6757">
        <w:tc>
          <w:tcPr>
            <w:tcW w:w="5949" w:type="dxa"/>
          </w:tcPr>
          <w:p w:rsidR="008F3B79" w:rsidRPr="00303184" w:rsidRDefault="00C33B62" w:rsidP="00303184">
            <w:pPr>
              <w:jc w:val="both"/>
              <w:rPr>
                <w:rFonts w:ascii="Times New Roman" w:hAnsi="Times New Roman" w:cs="Times New Roman"/>
                <w:sz w:val="24"/>
                <w:szCs w:val="24"/>
              </w:rPr>
            </w:pPr>
            <w:r w:rsidRPr="00303184">
              <w:rPr>
                <w:rFonts w:ascii="Times New Roman" w:hAnsi="Times New Roman" w:cs="Times New Roman"/>
                <w:sz w:val="24"/>
                <w:szCs w:val="24"/>
              </w:rPr>
              <w:t>(i) Країнам-членам та іншим Сторонам Конвенції ОЕСР про боротьбу з підкупом чітко заборонити податкове вирахування хабарів іноземним посадовим особам для всіх цілей оподаткування ефективним чином. Така заборона повинна бути встановлена законом або за допомогою будь-якого іншого обов’язкового засобу, що має таку саму силу, наприклад:</w:t>
            </w:r>
          </w:p>
          <w:p w:rsidR="008F3B79" w:rsidRPr="00303184" w:rsidRDefault="00C33B62" w:rsidP="00303184">
            <w:pPr>
              <w:jc w:val="both"/>
              <w:rPr>
                <w:rFonts w:ascii="Times New Roman" w:hAnsi="Times New Roman" w:cs="Times New Roman"/>
                <w:sz w:val="24"/>
                <w:szCs w:val="24"/>
              </w:rPr>
            </w:pPr>
            <w:r w:rsidRPr="00303184">
              <w:rPr>
                <w:rFonts w:ascii="Times New Roman" w:hAnsi="Times New Roman" w:cs="Times New Roman"/>
                <w:sz w:val="24"/>
                <w:szCs w:val="24"/>
              </w:rPr>
              <w:t xml:space="preserve">• Заборона податкового вирахування іноземним посадовим особам; </w:t>
            </w:r>
          </w:p>
          <w:p w:rsidR="0030470A" w:rsidRPr="00303184" w:rsidRDefault="00C33B62" w:rsidP="00303184">
            <w:pPr>
              <w:jc w:val="both"/>
              <w:rPr>
                <w:rFonts w:ascii="Times New Roman" w:hAnsi="Times New Roman" w:cs="Times New Roman"/>
                <w:sz w:val="24"/>
                <w:szCs w:val="24"/>
              </w:rPr>
            </w:pPr>
            <w:r w:rsidRPr="00303184">
              <w:rPr>
                <w:rFonts w:ascii="Times New Roman" w:hAnsi="Times New Roman" w:cs="Times New Roman"/>
                <w:sz w:val="24"/>
                <w:szCs w:val="24"/>
              </w:rPr>
              <w:t xml:space="preserve">• Заборона податкового </w:t>
            </w:r>
            <w:r w:rsidR="003C6050">
              <w:rPr>
                <w:rFonts w:ascii="Times New Roman" w:hAnsi="Times New Roman" w:cs="Times New Roman"/>
                <w:sz w:val="24"/>
                <w:szCs w:val="24"/>
              </w:rPr>
              <w:t xml:space="preserve"> </w:t>
            </w:r>
            <w:r w:rsidRPr="00303184">
              <w:rPr>
                <w:rFonts w:ascii="Times New Roman" w:hAnsi="Times New Roman" w:cs="Times New Roman"/>
                <w:sz w:val="24"/>
                <w:szCs w:val="24"/>
              </w:rPr>
              <w:t>вирахування всіх хабарів або витрат, понесених для сприяння корупційній поведінці всупереч кримінальному або будь-якому іншому закону Сторони Кон</w:t>
            </w:r>
            <w:r w:rsidR="0030470A" w:rsidRPr="00303184">
              <w:rPr>
                <w:rFonts w:ascii="Times New Roman" w:hAnsi="Times New Roman" w:cs="Times New Roman"/>
                <w:sz w:val="24"/>
                <w:szCs w:val="24"/>
              </w:rPr>
              <w:t>венції про боротьбу з підкупом.</w:t>
            </w:r>
          </w:p>
          <w:p w:rsidR="00572EDC" w:rsidRPr="00303184" w:rsidRDefault="00C33B62" w:rsidP="00303184">
            <w:pPr>
              <w:jc w:val="both"/>
              <w:rPr>
                <w:rFonts w:ascii="Times New Roman" w:hAnsi="Times New Roman" w:cs="Times New Roman"/>
                <w:sz w:val="24"/>
                <w:szCs w:val="24"/>
              </w:rPr>
            </w:pPr>
            <w:r w:rsidRPr="00303184">
              <w:rPr>
                <w:rFonts w:ascii="Times New Roman" w:hAnsi="Times New Roman" w:cs="Times New Roman"/>
                <w:sz w:val="24"/>
                <w:szCs w:val="24"/>
              </w:rPr>
              <w:t>Відмова у податковому вирахуванні не залежить від відкриття розслідування правоохоронними органами або порушення судового провадження.</w:t>
            </w:r>
          </w:p>
          <w:p w:rsidR="0030470A" w:rsidRPr="00303184" w:rsidRDefault="0030470A" w:rsidP="00303184">
            <w:pPr>
              <w:jc w:val="both"/>
              <w:rPr>
                <w:rFonts w:ascii="Times New Roman" w:hAnsi="Times New Roman" w:cs="Times New Roman"/>
                <w:sz w:val="24"/>
                <w:szCs w:val="24"/>
              </w:rPr>
            </w:pPr>
          </w:p>
        </w:tc>
        <w:tc>
          <w:tcPr>
            <w:tcW w:w="4678" w:type="dxa"/>
          </w:tcPr>
          <w:p w:rsidR="00CB6757" w:rsidRDefault="00CB6757" w:rsidP="00CB6757">
            <w:pPr>
              <w:jc w:val="both"/>
              <w:rPr>
                <w:rFonts w:ascii="Times New Roman" w:hAnsi="Times New Roman" w:cs="Times New Roman"/>
                <w:sz w:val="24"/>
                <w:szCs w:val="24"/>
              </w:rPr>
            </w:pPr>
            <w:r w:rsidRPr="00CB6757">
              <w:rPr>
                <w:rFonts w:ascii="Times New Roman" w:hAnsi="Times New Roman" w:cs="Times New Roman"/>
                <w:sz w:val="24"/>
                <w:szCs w:val="24"/>
              </w:rPr>
              <w:t>Положення</w:t>
            </w:r>
            <w:r>
              <w:rPr>
                <w:rFonts w:ascii="Times New Roman" w:hAnsi="Times New Roman" w:cs="Times New Roman"/>
                <w:sz w:val="24"/>
                <w:szCs w:val="24"/>
              </w:rPr>
              <w:t xml:space="preserve"> Податкового кодексу України наразі містять, зокрема, такі положення:</w:t>
            </w:r>
          </w:p>
          <w:p w:rsidR="00CB6757" w:rsidRDefault="00CB6757" w:rsidP="00CB6757">
            <w:pPr>
              <w:jc w:val="both"/>
              <w:rPr>
                <w:rFonts w:ascii="Times New Roman" w:hAnsi="Times New Roman" w:cs="Times New Roman"/>
                <w:sz w:val="24"/>
                <w:szCs w:val="24"/>
              </w:rPr>
            </w:pPr>
          </w:p>
          <w:p w:rsidR="00CB6757" w:rsidRPr="00CB6757" w:rsidRDefault="00CB6757" w:rsidP="00CB6757">
            <w:pPr>
              <w:jc w:val="both"/>
              <w:rPr>
                <w:rFonts w:ascii="Times New Roman" w:hAnsi="Times New Roman" w:cs="Times New Roman"/>
                <w:sz w:val="24"/>
                <w:szCs w:val="24"/>
              </w:rPr>
            </w:pPr>
            <w:r>
              <w:rPr>
                <w:rFonts w:ascii="Times New Roman" w:hAnsi="Times New Roman" w:cs="Times New Roman"/>
                <w:sz w:val="24"/>
                <w:szCs w:val="24"/>
              </w:rPr>
              <w:t>Розділ І</w:t>
            </w:r>
            <w:r>
              <w:rPr>
                <w:rFonts w:ascii="Times New Roman" w:hAnsi="Times New Roman" w:cs="Times New Roman"/>
                <w:sz w:val="24"/>
                <w:szCs w:val="24"/>
                <w:lang w:val="en-US"/>
              </w:rPr>
              <w:t>V</w:t>
            </w:r>
            <w:r>
              <w:rPr>
                <w:rFonts w:ascii="Times New Roman" w:hAnsi="Times New Roman" w:cs="Times New Roman"/>
                <w:sz w:val="24"/>
                <w:szCs w:val="24"/>
              </w:rPr>
              <w:t>. Податок на доходи фізичних осіб</w:t>
            </w:r>
          </w:p>
          <w:p w:rsidR="00CB6757" w:rsidRDefault="00CB6757" w:rsidP="00CB6757">
            <w:pPr>
              <w:jc w:val="both"/>
              <w:rPr>
                <w:rFonts w:ascii="Times New Roman" w:hAnsi="Times New Roman" w:cs="Times New Roman"/>
                <w:sz w:val="24"/>
                <w:szCs w:val="24"/>
              </w:rPr>
            </w:pPr>
          </w:p>
          <w:p w:rsidR="00CB6757" w:rsidRDefault="00CB6757" w:rsidP="00CB6757">
            <w:pPr>
              <w:jc w:val="both"/>
              <w:rPr>
                <w:rFonts w:ascii="Times New Roman" w:hAnsi="Times New Roman" w:cs="Times New Roman"/>
                <w:sz w:val="24"/>
                <w:szCs w:val="24"/>
              </w:rPr>
            </w:pPr>
            <w:r>
              <w:rPr>
                <w:rFonts w:ascii="Times New Roman" w:hAnsi="Times New Roman" w:cs="Times New Roman"/>
                <w:sz w:val="24"/>
                <w:szCs w:val="24"/>
              </w:rPr>
              <w:t>162.1. Платниками податку є: …</w:t>
            </w:r>
          </w:p>
          <w:p w:rsidR="00CB6757" w:rsidRDefault="00CB6757" w:rsidP="00CB6757">
            <w:pPr>
              <w:jc w:val="both"/>
              <w:rPr>
                <w:rFonts w:ascii="Times New Roman" w:hAnsi="Times New Roman" w:cs="Times New Roman"/>
                <w:sz w:val="24"/>
                <w:szCs w:val="24"/>
              </w:rPr>
            </w:pPr>
          </w:p>
          <w:p w:rsidR="00CB6757" w:rsidRDefault="00CB6757" w:rsidP="00CB6757">
            <w:pPr>
              <w:jc w:val="both"/>
              <w:rPr>
                <w:rFonts w:ascii="Times New Roman" w:hAnsi="Times New Roman" w:cs="Times New Roman"/>
                <w:sz w:val="24"/>
                <w:szCs w:val="24"/>
              </w:rPr>
            </w:pPr>
            <w:r w:rsidRPr="00CB6757">
              <w:rPr>
                <w:rFonts w:ascii="Times New Roman" w:hAnsi="Times New Roman" w:cs="Times New Roman"/>
                <w:sz w:val="24"/>
                <w:szCs w:val="24"/>
              </w:rPr>
              <w:t>162.1.2. фізична особа - нерезидент, яка отримує доходи з д</w:t>
            </w:r>
            <w:r>
              <w:rPr>
                <w:rFonts w:ascii="Times New Roman" w:hAnsi="Times New Roman" w:cs="Times New Roman"/>
                <w:sz w:val="24"/>
                <w:szCs w:val="24"/>
              </w:rPr>
              <w:t>жерела їх походження в Україні;</w:t>
            </w:r>
          </w:p>
          <w:p w:rsidR="00CB6757" w:rsidRDefault="00CB6757" w:rsidP="00CB6757">
            <w:pPr>
              <w:jc w:val="both"/>
              <w:rPr>
                <w:rFonts w:ascii="Times New Roman" w:hAnsi="Times New Roman" w:cs="Times New Roman"/>
                <w:sz w:val="24"/>
                <w:szCs w:val="24"/>
              </w:rPr>
            </w:pPr>
          </w:p>
          <w:p w:rsidR="00CB6757" w:rsidRDefault="00CB6757" w:rsidP="00CB6757">
            <w:pPr>
              <w:jc w:val="both"/>
              <w:rPr>
                <w:rFonts w:ascii="Times New Roman" w:hAnsi="Times New Roman" w:cs="Times New Roman"/>
                <w:sz w:val="24"/>
                <w:szCs w:val="24"/>
              </w:rPr>
            </w:pPr>
            <w:r w:rsidRPr="00CB6757">
              <w:rPr>
                <w:rFonts w:ascii="Times New Roman" w:hAnsi="Times New Roman" w:cs="Times New Roman"/>
                <w:sz w:val="24"/>
                <w:szCs w:val="24"/>
              </w:rPr>
              <w:t>164.2. До загального місячного (річного) оподатковуваного доходу платника податку включаються</w:t>
            </w:r>
            <w:r>
              <w:rPr>
                <w:rFonts w:ascii="Times New Roman" w:hAnsi="Times New Roman" w:cs="Times New Roman"/>
                <w:sz w:val="24"/>
                <w:szCs w:val="24"/>
              </w:rPr>
              <w:t>: …</w:t>
            </w:r>
          </w:p>
          <w:p w:rsidR="00CB6757" w:rsidRDefault="00CB6757" w:rsidP="00CB6757">
            <w:pPr>
              <w:jc w:val="both"/>
              <w:rPr>
                <w:rFonts w:ascii="Times New Roman" w:hAnsi="Times New Roman" w:cs="Times New Roman"/>
                <w:sz w:val="24"/>
                <w:szCs w:val="24"/>
              </w:rPr>
            </w:pPr>
          </w:p>
          <w:p w:rsidR="00572EDC" w:rsidRPr="00303184" w:rsidRDefault="00CB6757" w:rsidP="00CB6757">
            <w:pPr>
              <w:jc w:val="both"/>
              <w:rPr>
                <w:rFonts w:ascii="Times New Roman" w:hAnsi="Times New Roman" w:cs="Times New Roman"/>
                <w:sz w:val="24"/>
                <w:szCs w:val="24"/>
                <w:lang w:val="ru-RU"/>
              </w:rPr>
            </w:pPr>
            <w:r w:rsidRPr="00CB6757">
              <w:rPr>
                <w:rFonts w:ascii="Times New Roman" w:hAnsi="Times New Roman" w:cs="Times New Roman"/>
                <w:sz w:val="24"/>
                <w:szCs w:val="24"/>
              </w:rPr>
              <w:t xml:space="preserve">164.2.12. кошти або майно (нематеріальні активи), отримані платником податку як хабар, викрадені чи знайдені як скарб, не зданий державі згідно із законом, у сумах, які визначені обвинувальним </w:t>
            </w:r>
            <w:proofErr w:type="spellStart"/>
            <w:r w:rsidRPr="00CB6757">
              <w:rPr>
                <w:rFonts w:ascii="Times New Roman" w:hAnsi="Times New Roman" w:cs="Times New Roman"/>
                <w:sz w:val="24"/>
                <w:szCs w:val="24"/>
              </w:rPr>
              <w:t>вироком</w:t>
            </w:r>
            <w:proofErr w:type="spellEnd"/>
            <w:r w:rsidRPr="00CB6757">
              <w:rPr>
                <w:rFonts w:ascii="Times New Roman" w:hAnsi="Times New Roman" w:cs="Times New Roman"/>
                <w:sz w:val="24"/>
                <w:szCs w:val="24"/>
              </w:rPr>
              <w:t xml:space="preserve"> суду незалежно від призначеної ним міри покарання;</w:t>
            </w:r>
          </w:p>
        </w:tc>
        <w:tc>
          <w:tcPr>
            <w:tcW w:w="4677" w:type="dxa"/>
          </w:tcPr>
          <w:p w:rsidR="001D3F84" w:rsidRDefault="001D3F84" w:rsidP="009164CE">
            <w:pPr>
              <w:jc w:val="both"/>
              <w:rPr>
                <w:rFonts w:ascii="Times New Roman" w:hAnsi="Times New Roman" w:cs="Times New Roman"/>
                <w:sz w:val="24"/>
                <w:szCs w:val="24"/>
              </w:rPr>
            </w:pPr>
            <w:r>
              <w:rPr>
                <w:rFonts w:ascii="Times New Roman" w:hAnsi="Times New Roman" w:cs="Times New Roman"/>
                <w:sz w:val="24"/>
                <w:szCs w:val="24"/>
              </w:rPr>
              <w:t xml:space="preserve">Зазначене положення Рекомендації </w:t>
            </w:r>
            <w:r w:rsidR="00DA7217">
              <w:rPr>
                <w:rFonts w:ascii="Times New Roman" w:hAnsi="Times New Roman" w:cs="Times New Roman"/>
                <w:sz w:val="24"/>
                <w:szCs w:val="24"/>
              </w:rPr>
              <w:t>Р</w:t>
            </w:r>
            <w:r>
              <w:rPr>
                <w:rFonts w:ascii="Times New Roman" w:hAnsi="Times New Roman" w:cs="Times New Roman"/>
                <w:sz w:val="24"/>
                <w:szCs w:val="24"/>
              </w:rPr>
              <w:t xml:space="preserve">ади ОЕСР може бути враховане шляхом внесення змін до окремих статей </w:t>
            </w:r>
            <w:r w:rsidR="00AB7406">
              <w:rPr>
                <w:rFonts w:ascii="Times New Roman" w:hAnsi="Times New Roman" w:cs="Times New Roman"/>
                <w:sz w:val="24"/>
                <w:szCs w:val="24"/>
              </w:rPr>
              <w:t xml:space="preserve"> </w:t>
            </w:r>
            <w:r w:rsidR="00721868">
              <w:rPr>
                <w:rFonts w:ascii="Times New Roman" w:hAnsi="Times New Roman" w:cs="Times New Roman"/>
                <w:sz w:val="24"/>
                <w:szCs w:val="24"/>
              </w:rPr>
              <w:t xml:space="preserve">розділів ІІІ і </w:t>
            </w:r>
            <w:proofErr w:type="spellStart"/>
            <w:r w:rsidR="00721868">
              <w:rPr>
                <w:rFonts w:ascii="Times New Roman" w:hAnsi="Times New Roman" w:cs="Times New Roman"/>
                <w:sz w:val="24"/>
                <w:szCs w:val="24"/>
              </w:rPr>
              <w:t>І</w:t>
            </w:r>
            <w:proofErr w:type="spellEnd"/>
            <w:r w:rsidR="00721868">
              <w:rPr>
                <w:rFonts w:ascii="Times New Roman" w:hAnsi="Times New Roman" w:cs="Times New Roman"/>
                <w:sz w:val="24"/>
                <w:szCs w:val="24"/>
                <w:lang w:val="en-US"/>
              </w:rPr>
              <w:t>V</w:t>
            </w:r>
            <w:r w:rsidR="00721868">
              <w:rPr>
                <w:rFonts w:ascii="Times New Roman" w:hAnsi="Times New Roman" w:cs="Times New Roman"/>
                <w:sz w:val="24"/>
                <w:szCs w:val="24"/>
                <w:lang w:val="ru-RU"/>
              </w:rPr>
              <w:t xml:space="preserve"> </w:t>
            </w:r>
            <w:r>
              <w:rPr>
                <w:rFonts w:ascii="Times New Roman" w:hAnsi="Times New Roman" w:cs="Times New Roman"/>
                <w:sz w:val="24"/>
                <w:szCs w:val="24"/>
              </w:rPr>
              <w:t>Податкового кодексу України.</w:t>
            </w:r>
          </w:p>
          <w:p w:rsidR="009164CE" w:rsidRPr="009164CE" w:rsidRDefault="001D3F84" w:rsidP="009164CE">
            <w:pPr>
              <w:jc w:val="both"/>
              <w:rPr>
                <w:rFonts w:ascii="Times New Roman" w:hAnsi="Times New Roman" w:cs="Times New Roman"/>
                <w:sz w:val="24"/>
                <w:szCs w:val="24"/>
              </w:rPr>
            </w:pPr>
            <w:r>
              <w:rPr>
                <w:rFonts w:ascii="Times New Roman" w:hAnsi="Times New Roman" w:cs="Times New Roman"/>
                <w:sz w:val="24"/>
                <w:szCs w:val="24"/>
              </w:rPr>
              <w:t>Так, пункт 140.5 статті 140, який передбачає збільшення ф</w:t>
            </w:r>
            <w:r w:rsidR="009164CE" w:rsidRPr="009164CE">
              <w:rPr>
                <w:rFonts w:ascii="Times New Roman" w:hAnsi="Times New Roman" w:cs="Times New Roman"/>
                <w:sz w:val="24"/>
                <w:szCs w:val="24"/>
              </w:rPr>
              <w:t>інансов</w:t>
            </w:r>
            <w:r>
              <w:rPr>
                <w:rFonts w:ascii="Times New Roman" w:hAnsi="Times New Roman" w:cs="Times New Roman"/>
                <w:sz w:val="24"/>
                <w:szCs w:val="24"/>
              </w:rPr>
              <w:t>ого</w:t>
            </w:r>
            <w:r w:rsidR="009164CE" w:rsidRPr="009164CE">
              <w:rPr>
                <w:rFonts w:ascii="Times New Roman" w:hAnsi="Times New Roman" w:cs="Times New Roman"/>
                <w:sz w:val="24"/>
                <w:szCs w:val="24"/>
              </w:rPr>
              <w:t xml:space="preserve"> результат</w:t>
            </w:r>
            <w:r>
              <w:rPr>
                <w:rFonts w:ascii="Times New Roman" w:hAnsi="Times New Roman" w:cs="Times New Roman"/>
                <w:sz w:val="24"/>
                <w:szCs w:val="24"/>
              </w:rPr>
              <w:t>у</w:t>
            </w:r>
            <w:r w:rsidR="009164CE" w:rsidRPr="009164CE">
              <w:rPr>
                <w:rFonts w:ascii="Times New Roman" w:hAnsi="Times New Roman" w:cs="Times New Roman"/>
                <w:sz w:val="24"/>
                <w:szCs w:val="24"/>
              </w:rPr>
              <w:t xml:space="preserve"> податкового (звітного) періоду </w:t>
            </w:r>
            <w:r>
              <w:rPr>
                <w:rFonts w:ascii="Times New Roman" w:hAnsi="Times New Roman" w:cs="Times New Roman"/>
                <w:sz w:val="24"/>
                <w:szCs w:val="24"/>
              </w:rPr>
              <w:t>слід доповнити підпунктом 140.5.18 такого змісту:</w:t>
            </w:r>
          </w:p>
          <w:p w:rsidR="00572EDC" w:rsidRDefault="001D3F84" w:rsidP="009164CE">
            <w:pPr>
              <w:jc w:val="both"/>
              <w:rPr>
                <w:rFonts w:ascii="Times New Roman" w:hAnsi="Times New Roman" w:cs="Times New Roman"/>
                <w:sz w:val="24"/>
                <w:szCs w:val="24"/>
              </w:rPr>
            </w:pPr>
            <w:r>
              <w:rPr>
                <w:rFonts w:ascii="Times New Roman" w:hAnsi="Times New Roman" w:cs="Times New Roman"/>
                <w:sz w:val="24"/>
                <w:szCs w:val="24"/>
              </w:rPr>
              <w:t>«</w:t>
            </w:r>
            <w:r w:rsidR="009164CE" w:rsidRPr="009164CE">
              <w:rPr>
                <w:rFonts w:ascii="Times New Roman" w:hAnsi="Times New Roman" w:cs="Times New Roman"/>
                <w:sz w:val="24"/>
                <w:szCs w:val="24"/>
              </w:rPr>
              <w:t xml:space="preserve">140.5.18. на суму коштів та/або вартість майна (нематеріальних активів) та/або вартість товарів, виконаних робіт, наданих послуг, безоплатно перерахованих (переданих), які визначені обвинувальним </w:t>
            </w:r>
            <w:proofErr w:type="spellStart"/>
            <w:r w:rsidR="009164CE" w:rsidRPr="009164CE">
              <w:rPr>
                <w:rFonts w:ascii="Times New Roman" w:hAnsi="Times New Roman" w:cs="Times New Roman"/>
                <w:sz w:val="24"/>
                <w:szCs w:val="24"/>
              </w:rPr>
              <w:t>вироком</w:t>
            </w:r>
            <w:proofErr w:type="spellEnd"/>
            <w:r w:rsidR="009164CE" w:rsidRPr="009164CE">
              <w:rPr>
                <w:rFonts w:ascii="Times New Roman" w:hAnsi="Times New Roman" w:cs="Times New Roman"/>
                <w:sz w:val="24"/>
                <w:szCs w:val="24"/>
              </w:rPr>
              <w:t xml:space="preserve"> суду як хабар, джерелом походження якого є ухилення або мінімізація оподаткування податком на прибуток підприємств</w:t>
            </w:r>
            <w:r w:rsidR="009164CE">
              <w:rPr>
                <w:rFonts w:ascii="Times New Roman" w:hAnsi="Times New Roman" w:cs="Times New Roman"/>
                <w:sz w:val="24"/>
                <w:szCs w:val="24"/>
              </w:rPr>
              <w:t>.</w:t>
            </w:r>
            <w:r>
              <w:rPr>
                <w:rFonts w:ascii="Times New Roman" w:hAnsi="Times New Roman" w:cs="Times New Roman"/>
                <w:sz w:val="24"/>
                <w:szCs w:val="24"/>
              </w:rPr>
              <w:t>».</w:t>
            </w:r>
          </w:p>
          <w:p w:rsidR="00754A14" w:rsidRDefault="00DA7217" w:rsidP="00754A14">
            <w:pPr>
              <w:jc w:val="both"/>
              <w:rPr>
                <w:rFonts w:ascii="Times New Roman" w:hAnsi="Times New Roman" w:cs="Times New Roman"/>
                <w:sz w:val="24"/>
                <w:szCs w:val="24"/>
              </w:rPr>
            </w:pPr>
            <w:r>
              <w:rPr>
                <w:rFonts w:ascii="Times New Roman" w:hAnsi="Times New Roman" w:cs="Times New Roman"/>
                <w:sz w:val="24"/>
                <w:szCs w:val="24"/>
              </w:rPr>
              <w:t>В частині податку на доходи фізичних осіб у підпункті 177.4.5 пункту 177.4 статті 177 «</w:t>
            </w:r>
            <w:r w:rsidR="00B67562" w:rsidRPr="00B67562">
              <w:rPr>
                <w:rFonts w:ascii="Times New Roman" w:hAnsi="Times New Roman" w:cs="Times New Roman"/>
                <w:sz w:val="24"/>
                <w:szCs w:val="24"/>
              </w:rPr>
              <w:t>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w:t>
            </w:r>
            <w:r>
              <w:rPr>
                <w:rFonts w:ascii="Times New Roman" w:hAnsi="Times New Roman" w:cs="Times New Roman"/>
                <w:sz w:val="24"/>
                <w:szCs w:val="24"/>
              </w:rPr>
              <w:t xml:space="preserve">» слід передбачити </w:t>
            </w:r>
            <w:proofErr w:type="spellStart"/>
            <w:r w:rsidR="00754A14">
              <w:rPr>
                <w:rFonts w:ascii="Times New Roman" w:hAnsi="Times New Roman" w:cs="Times New Roman"/>
                <w:sz w:val="24"/>
                <w:szCs w:val="24"/>
              </w:rPr>
              <w:t>н</w:t>
            </w:r>
            <w:r>
              <w:rPr>
                <w:rFonts w:ascii="Times New Roman" w:hAnsi="Times New Roman" w:cs="Times New Roman"/>
                <w:sz w:val="24"/>
                <w:szCs w:val="24"/>
              </w:rPr>
              <w:t>е</w:t>
            </w:r>
            <w:r w:rsidR="00754A14" w:rsidRPr="00754A14">
              <w:rPr>
                <w:rFonts w:ascii="Times New Roman" w:hAnsi="Times New Roman" w:cs="Times New Roman"/>
                <w:sz w:val="24"/>
                <w:szCs w:val="24"/>
              </w:rPr>
              <w:t>включ</w:t>
            </w:r>
            <w:r>
              <w:rPr>
                <w:rFonts w:ascii="Times New Roman" w:hAnsi="Times New Roman" w:cs="Times New Roman"/>
                <w:sz w:val="24"/>
                <w:szCs w:val="24"/>
              </w:rPr>
              <w:t>ення</w:t>
            </w:r>
            <w:proofErr w:type="spellEnd"/>
            <w:r w:rsidR="00754A14" w:rsidRPr="00754A14">
              <w:rPr>
                <w:rFonts w:ascii="Times New Roman" w:hAnsi="Times New Roman" w:cs="Times New Roman"/>
                <w:sz w:val="24"/>
                <w:szCs w:val="24"/>
              </w:rPr>
              <w:t xml:space="preserve"> до складу витрат фізичної</w:t>
            </w:r>
            <w:r w:rsidR="00754A14">
              <w:rPr>
                <w:rFonts w:ascii="Times New Roman" w:hAnsi="Times New Roman" w:cs="Times New Roman"/>
                <w:sz w:val="24"/>
                <w:szCs w:val="24"/>
              </w:rPr>
              <w:t xml:space="preserve"> </w:t>
            </w:r>
            <w:r w:rsidR="00754A14" w:rsidRPr="00754A14">
              <w:rPr>
                <w:rFonts w:ascii="Times New Roman" w:hAnsi="Times New Roman" w:cs="Times New Roman"/>
                <w:sz w:val="24"/>
                <w:szCs w:val="24"/>
              </w:rPr>
              <w:t xml:space="preserve">особи </w:t>
            </w:r>
            <w:r w:rsidR="00754A14">
              <w:rPr>
                <w:rFonts w:ascii="Times New Roman" w:hAnsi="Times New Roman" w:cs="Times New Roman"/>
                <w:sz w:val="24"/>
                <w:szCs w:val="24"/>
              </w:rPr>
              <w:t>–</w:t>
            </w:r>
            <w:r w:rsidR="00754A14" w:rsidRPr="00754A14">
              <w:rPr>
                <w:rFonts w:ascii="Times New Roman" w:hAnsi="Times New Roman" w:cs="Times New Roman"/>
                <w:sz w:val="24"/>
                <w:szCs w:val="24"/>
              </w:rPr>
              <w:t xml:space="preserve"> підприємця</w:t>
            </w:r>
            <w:r>
              <w:rPr>
                <w:rFonts w:ascii="Times New Roman" w:hAnsi="Times New Roman" w:cs="Times New Roman"/>
                <w:sz w:val="24"/>
                <w:szCs w:val="24"/>
              </w:rPr>
              <w:t xml:space="preserve"> </w:t>
            </w:r>
            <w:r w:rsidR="00754A14" w:rsidRPr="00754A14">
              <w:rPr>
                <w:rFonts w:ascii="Times New Roman" w:hAnsi="Times New Roman" w:cs="Times New Roman"/>
                <w:sz w:val="24"/>
                <w:szCs w:val="24"/>
              </w:rPr>
              <w:t>витрат</w:t>
            </w:r>
            <w:r>
              <w:rPr>
                <w:rFonts w:ascii="Times New Roman" w:hAnsi="Times New Roman" w:cs="Times New Roman"/>
                <w:sz w:val="24"/>
                <w:szCs w:val="24"/>
              </w:rPr>
              <w:t>, що</w:t>
            </w:r>
            <w:r w:rsidR="00754A14" w:rsidRPr="00754A14">
              <w:rPr>
                <w:rFonts w:ascii="Times New Roman" w:hAnsi="Times New Roman" w:cs="Times New Roman"/>
                <w:sz w:val="24"/>
                <w:szCs w:val="24"/>
              </w:rPr>
              <w:t xml:space="preserve"> сплачені на</w:t>
            </w:r>
            <w:r w:rsidR="00754A14">
              <w:rPr>
                <w:rFonts w:ascii="Times New Roman" w:hAnsi="Times New Roman" w:cs="Times New Roman"/>
                <w:sz w:val="24"/>
                <w:szCs w:val="24"/>
              </w:rPr>
              <w:t xml:space="preserve"> </w:t>
            </w:r>
            <w:r w:rsidR="00754A14" w:rsidRPr="00754A14">
              <w:rPr>
                <w:rFonts w:ascii="Times New Roman" w:hAnsi="Times New Roman" w:cs="Times New Roman"/>
                <w:sz w:val="24"/>
                <w:szCs w:val="24"/>
              </w:rPr>
              <w:t>користь інших платників податків, які</w:t>
            </w:r>
            <w:r w:rsidR="00754A14">
              <w:rPr>
                <w:rFonts w:ascii="Times New Roman" w:hAnsi="Times New Roman" w:cs="Times New Roman"/>
                <w:sz w:val="24"/>
                <w:szCs w:val="24"/>
              </w:rPr>
              <w:t xml:space="preserve"> </w:t>
            </w:r>
            <w:r w:rsidR="00754A14" w:rsidRPr="00754A14">
              <w:rPr>
                <w:rFonts w:ascii="Times New Roman" w:hAnsi="Times New Roman" w:cs="Times New Roman"/>
                <w:sz w:val="24"/>
                <w:szCs w:val="24"/>
              </w:rPr>
              <w:t xml:space="preserve">визначені обвинувальним </w:t>
            </w:r>
            <w:proofErr w:type="spellStart"/>
            <w:r w:rsidR="00754A14" w:rsidRPr="00754A14">
              <w:rPr>
                <w:rFonts w:ascii="Times New Roman" w:hAnsi="Times New Roman" w:cs="Times New Roman"/>
                <w:sz w:val="24"/>
                <w:szCs w:val="24"/>
              </w:rPr>
              <w:t>вироком</w:t>
            </w:r>
            <w:proofErr w:type="spellEnd"/>
            <w:r w:rsidR="00754A14" w:rsidRPr="00754A14">
              <w:rPr>
                <w:rFonts w:ascii="Times New Roman" w:hAnsi="Times New Roman" w:cs="Times New Roman"/>
                <w:sz w:val="24"/>
                <w:szCs w:val="24"/>
              </w:rPr>
              <w:t xml:space="preserve"> суду як</w:t>
            </w:r>
            <w:r w:rsidR="00754A14">
              <w:rPr>
                <w:rFonts w:ascii="Times New Roman" w:hAnsi="Times New Roman" w:cs="Times New Roman"/>
                <w:sz w:val="24"/>
                <w:szCs w:val="24"/>
              </w:rPr>
              <w:t xml:space="preserve"> </w:t>
            </w:r>
            <w:r w:rsidR="00754A14" w:rsidRPr="00754A14">
              <w:rPr>
                <w:rFonts w:ascii="Times New Roman" w:hAnsi="Times New Roman" w:cs="Times New Roman"/>
                <w:sz w:val="24"/>
                <w:szCs w:val="24"/>
              </w:rPr>
              <w:t>неправомірна вигода або хабар</w:t>
            </w:r>
            <w:r>
              <w:rPr>
                <w:rFonts w:ascii="Times New Roman" w:hAnsi="Times New Roman" w:cs="Times New Roman"/>
                <w:sz w:val="24"/>
                <w:szCs w:val="24"/>
              </w:rPr>
              <w:t>.</w:t>
            </w:r>
          </w:p>
          <w:p w:rsidR="00B67562" w:rsidRDefault="00DA7217" w:rsidP="00754A14">
            <w:pPr>
              <w:jc w:val="both"/>
              <w:rPr>
                <w:rFonts w:ascii="Times New Roman" w:hAnsi="Times New Roman" w:cs="Times New Roman"/>
                <w:sz w:val="24"/>
                <w:szCs w:val="24"/>
              </w:rPr>
            </w:pPr>
            <w:r>
              <w:rPr>
                <w:rFonts w:ascii="Times New Roman" w:hAnsi="Times New Roman" w:cs="Times New Roman"/>
                <w:sz w:val="24"/>
                <w:szCs w:val="24"/>
              </w:rPr>
              <w:t>Пункт 178.3 с</w:t>
            </w:r>
            <w:r w:rsidR="00B67562" w:rsidRPr="00B67562">
              <w:rPr>
                <w:rFonts w:ascii="Times New Roman" w:hAnsi="Times New Roman" w:cs="Times New Roman"/>
                <w:sz w:val="24"/>
                <w:szCs w:val="24"/>
              </w:rPr>
              <w:t>татт</w:t>
            </w:r>
            <w:r>
              <w:rPr>
                <w:rFonts w:ascii="Times New Roman" w:hAnsi="Times New Roman" w:cs="Times New Roman"/>
                <w:sz w:val="24"/>
                <w:szCs w:val="24"/>
              </w:rPr>
              <w:t>і</w:t>
            </w:r>
            <w:r w:rsidR="00B67562" w:rsidRPr="00B67562">
              <w:rPr>
                <w:rFonts w:ascii="Times New Roman" w:hAnsi="Times New Roman" w:cs="Times New Roman"/>
                <w:sz w:val="24"/>
                <w:szCs w:val="24"/>
              </w:rPr>
              <w:t xml:space="preserve"> 178 </w:t>
            </w:r>
            <w:r>
              <w:rPr>
                <w:rFonts w:ascii="Times New Roman" w:hAnsi="Times New Roman" w:cs="Times New Roman"/>
                <w:sz w:val="24"/>
                <w:szCs w:val="24"/>
              </w:rPr>
              <w:t>«</w:t>
            </w:r>
            <w:r w:rsidR="00B67562" w:rsidRPr="00B67562">
              <w:rPr>
                <w:rFonts w:ascii="Times New Roman" w:hAnsi="Times New Roman" w:cs="Times New Roman"/>
                <w:sz w:val="24"/>
                <w:szCs w:val="24"/>
              </w:rPr>
              <w:t>Оподаткування доходів, отриманих фізичною особою, яка провадить незалежну професійну діяльність</w:t>
            </w:r>
            <w:r>
              <w:rPr>
                <w:rFonts w:ascii="Times New Roman" w:hAnsi="Times New Roman" w:cs="Times New Roman"/>
                <w:sz w:val="24"/>
                <w:szCs w:val="24"/>
              </w:rPr>
              <w:t>» доповнити абзацом наступного змісту:</w:t>
            </w:r>
          </w:p>
          <w:p w:rsidR="00754A14" w:rsidRPr="00303184" w:rsidRDefault="00721868" w:rsidP="00754A14">
            <w:pPr>
              <w:jc w:val="both"/>
              <w:rPr>
                <w:rFonts w:ascii="Times New Roman" w:hAnsi="Times New Roman" w:cs="Times New Roman"/>
                <w:sz w:val="24"/>
                <w:szCs w:val="24"/>
              </w:rPr>
            </w:pPr>
            <w:r>
              <w:rPr>
                <w:rFonts w:ascii="Times New Roman" w:hAnsi="Times New Roman" w:cs="Times New Roman"/>
                <w:sz w:val="24"/>
                <w:szCs w:val="24"/>
              </w:rPr>
              <w:t>«</w:t>
            </w:r>
            <w:r w:rsidR="00754A14" w:rsidRPr="00754A14">
              <w:rPr>
                <w:rFonts w:ascii="Times New Roman" w:hAnsi="Times New Roman" w:cs="Times New Roman"/>
                <w:sz w:val="24"/>
                <w:szCs w:val="24"/>
              </w:rPr>
              <w:t xml:space="preserve">Не включаються до суми витрат особи, яка провадить незалежну професійну діяльність, суми витрат сплачені на користь інших платників податків, які визначені обвинувальним </w:t>
            </w:r>
            <w:proofErr w:type="spellStart"/>
            <w:r w:rsidR="00754A14" w:rsidRPr="00754A14">
              <w:rPr>
                <w:rFonts w:ascii="Times New Roman" w:hAnsi="Times New Roman" w:cs="Times New Roman"/>
                <w:sz w:val="24"/>
                <w:szCs w:val="24"/>
              </w:rPr>
              <w:t>вироком</w:t>
            </w:r>
            <w:proofErr w:type="spellEnd"/>
            <w:r w:rsidR="00754A14" w:rsidRPr="00754A14">
              <w:rPr>
                <w:rFonts w:ascii="Times New Roman" w:hAnsi="Times New Roman" w:cs="Times New Roman"/>
                <w:sz w:val="24"/>
                <w:szCs w:val="24"/>
              </w:rPr>
              <w:t xml:space="preserve"> суду як неправомірна вигода або хабар.</w:t>
            </w:r>
            <w:r>
              <w:rPr>
                <w:rFonts w:ascii="Times New Roman" w:hAnsi="Times New Roman" w:cs="Times New Roman"/>
                <w:sz w:val="24"/>
                <w:szCs w:val="24"/>
              </w:rPr>
              <w:t>».</w:t>
            </w:r>
          </w:p>
        </w:tc>
      </w:tr>
      <w:tr w:rsidR="00572EDC" w:rsidRPr="00303184" w:rsidTr="005B37DB">
        <w:tc>
          <w:tcPr>
            <w:tcW w:w="5949" w:type="dxa"/>
          </w:tcPr>
          <w:p w:rsidR="008F3B79" w:rsidRPr="001D3F84" w:rsidRDefault="008F3B79" w:rsidP="00303184">
            <w:pPr>
              <w:jc w:val="both"/>
              <w:rPr>
                <w:rFonts w:ascii="Times New Roman" w:hAnsi="Times New Roman" w:cs="Times New Roman"/>
                <w:sz w:val="24"/>
                <w:szCs w:val="24"/>
              </w:rPr>
            </w:pPr>
            <w:r w:rsidRPr="001D3F84">
              <w:rPr>
                <w:rFonts w:ascii="Times New Roman" w:hAnsi="Times New Roman" w:cs="Times New Roman"/>
                <w:sz w:val="24"/>
                <w:szCs w:val="24"/>
              </w:rPr>
              <w:t xml:space="preserve">(ii) Кожній країні-члену та іншій Стороні Конвенції ОЕСР про боротьбу з підкупом постійно перевіряти ефективність своїх законодавчих, адміністративних і політичних систем, а також практики заборони податкового вирахування хабарів іноземним посадовим особам. Ці перевірки мають дозволяти оцінити, чи надано належні вказівки платникам податків і податковим органам щодо типів витрат, які вважаються хабарем іноземним посадовим особам, і чи виявляються ефективно такі хабарі податковими органами. </w:t>
            </w:r>
          </w:p>
          <w:p w:rsidR="00572EDC" w:rsidRPr="001D3F84" w:rsidRDefault="00572EDC" w:rsidP="00303184">
            <w:pPr>
              <w:jc w:val="both"/>
              <w:rPr>
                <w:rFonts w:ascii="Times New Roman" w:hAnsi="Times New Roman" w:cs="Times New Roman"/>
                <w:sz w:val="24"/>
                <w:szCs w:val="24"/>
              </w:rPr>
            </w:pPr>
          </w:p>
        </w:tc>
        <w:tc>
          <w:tcPr>
            <w:tcW w:w="4678" w:type="dxa"/>
          </w:tcPr>
          <w:p w:rsidR="006927A7" w:rsidRPr="005B37DB" w:rsidRDefault="006927A7" w:rsidP="006927A7">
            <w:pPr>
              <w:jc w:val="both"/>
              <w:rPr>
                <w:rFonts w:ascii="Times New Roman" w:hAnsi="Times New Roman" w:cs="Times New Roman"/>
                <w:sz w:val="24"/>
                <w:szCs w:val="24"/>
              </w:rPr>
            </w:pPr>
            <w:r w:rsidRPr="005B37DB">
              <w:rPr>
                <w:rFonts w:ascii="Times New Roman" w:hAnsi="Times New Roman" w:cs="Times New Roman"/>
                <w:sz w:val="24"/>
                <w:szCs w:val="24"/>
              </w:rPr>
              <w:t>Ефективність законодавчих актів здійснюється на постійній основі шляхом їх практичного застосування з відповідним подальшим коригуванням у разі необхідності.</w:t>
            </w:r>
          </w:p>
          <w:p w:rsidR="00DD687A" w:rsidRDefault="006927A7" w:rsidP="006927A7">
            <w:pPr>
              <w:jc w:val="both"/>
              <w:rPr>
                <w:rFonts w:ascii="Times New Roman" w:hAnsi="Times New Roman" w:cs="Times New Roman"/>
                <w:sz w:val="24"/>
                <w:szCs w:val="24"/>
              </w:rPr>
            </w:pPr>
            <w:r w:rsidRPr="005B37DB">
              <w:rPr>
                <w:rFonts w:ascii="Times New Roman" w:hAnsi="Times New Roman" w:cs="Times New Roman"/>
                <w:sz w:val="24"/>
                <w:szCs w:val="24"/>
              </w:rPr>
              <w:t xml:space="preserve">У разі прийняття </w:t>
            </w:r>
            <w:r w:rsidR="00DF2809">
              <w:rPr>
                <w:rFonts w:ascii="Times New Roman" w:hAnsi="Times New Roman" w:cs="Times New Roman"/>
                <w:sz w:val="24"/>
                <w:szCs w:val="24"/>
              </w:rPr>
              <w:t xml:space="preserve">відповідних </w:t>
            </w:r>
            <w:r w:rsidRPr="005B37DB">
              <w:rPr>
                <w:rFonts w:ascii="Times New Roman" w:hAnsi="Times New Roman" w:cs="Times New Roman"/>
                <w:sz w:val="24"/>
                <w:szCs w:val="24"/>
              </w:rPr>
              <w:t>змін до Податкового кодексу України платникам податків та органам ДПС будуть надані належні вказівки щодо типів витрат, які вважаються хабарем іноземним посадовим особам.</w:t>
            </w:r>
          </w:p>
          <w:p w:rsidR="001E7D0F" w:rsidRPr="00704945" w:rsidRDefault="001E7D0F" w:rsidP="001E7D0F">
            <w:pPr>
              <w:jc w:val="both"/>
              <w:rPr>
                <w:rFonts w:ascii="Times New Roman" w:hAnsi="Times New Roman" w:cs="Times New Roman"/>
                <w:sz w:val="24"/>
                <w:szCs w:val="24"/>
              </w:rPr>
            </w:pPr>
            <w:r>
              <w:rPr>
                <w:rFonts w:ascii="Times New Roman" w:hAnsi="Times New Roman" w:cs="Times New Roman"/>
                <w:sz w:val="24"/>
                <w:szCs w:val="24"/>
              </w:rPr>
              <w:t>Так, відповідно до законодавства</w:t>
            </w:r>
            <w:r w:rsidRPr="00704945">
              <w:rPr>
                <w:rFonts w:ascii="Times New Roman" w:hAnsi="Times New Roman" w:cs="Times New Roman"/>
                <w:sz w:val="24"/>
                <w:szCs w:val="24"/>
              </w:rPr>
              <w:t xml:space="preserve"> ДПС</w:t>
            </w:r>
            <w:r>
              <w:rPr>
                <w:rFonts w:ascii="Times New Roman" w:hAnsi="Times New Roman" w:cs="Times New Roman"/>
                <w:sz w:val="24"/>
                <w:szCs w:val="24"/>
              </w:rPr>
              <w:t>, зокрема</w:t>
            </w:r>
            <w:r w:rsidRPr="00704945">
              <w:rPr>
                <w:rFonts w:ascii="Times New Roman" w:hAnsi="Times New Roman" w:cs="Times New Roman"/>
                <w:sz w:val="24"/>
                <w:szCs w:val="24"/>
              </w:rPr>
              <w:t>:</w:t>
            </w:r>
          </w:p>
          <w:p w:rsidR="001E7D0F" w:rsidRPr="00704945" w:rsidRDefault="001E7D0F" w:rsidP="001E7D0F">
            <w:pPr>
              <w:jc w:val="both"/>
              <w:rPr>
                <w:rFonts w:ascii="Times New Roman" w:hAnsi="Times New Roman" w:cs="Times New Roman"/>
                <w:sz w:val="24"/>
                <w:szCs w:val="24"/>
              </w:rPr>
            </w:pPr>
            <w:r w:rsidRPr="00704945">
              <w:rPr>
                <w:rFonts w:ascii="Times New Roman" w:hAnsi="Times New Roman" w:cs="Times New Roman"/>
                <w:sz w:val="24"/>
                <w:szCs w:val="24"/>
              </w:rPr>
              <w:t>надає індивідуальні податкові консультації, інформаційно-довідкові послуги з питань податкового законодавства та законодавства з інших питань, контроль за дотриманням якого покладено на ДПС;</w:t>
            </w:r>
          </w:p>
          <w:p w:rsidR="001E7D0F" w:rsidRPr="00704945" w:rsidRDefault="001E7D0F" w:rsidP="001E7D0F">
            <w:pPr>
              <w:pStyle w:val="a9"/>
              <w:spacing w:before="0" w:beforeAutospacing="0" w:after="0" w:afterAutospacing="0"/>
              <w:jc w:val="both"/>
            </w:pPr>
            <w:r w:rsidRPr="00704945">
              <w:t xml:space="preserve">оприлюднює на </w:t>
            </w:r>
            <w:proofErr w:type="spellStart"/>
            <w:r w:rsidRPr="00704945">
              <w:t>вебпорталі</w:t>
            </w:r>
            <w:proofErr w:type="spellEnd"/>
            <w:r w:rsidRPr="00704945">
              <w:t xml:space="preserve"> ДПС акти та інші офіційні документи та інформацію з питань, що належать до її компетенції, зокрема інформацію, яка підлягає оприлюдненню відповідно до законодавства;</w:t>
            </w:r>
          </w:p>
          <w:p w:rsidR="001E7D0F" w:rsidRDefault="001E7D0F" w:rsidP="001E7D0F">
            <w:pPr>
              <w:pStyle w:val="a9"/>
              <w:spacing w:before="0" w:beforeAutospacing="0" w:after="0" w:afterAutospacing="0"/>
              <w:jc w:val="both"/>
            </w:pPr>
            <w:r w:rsidRPr="00704945">
              <w:t>організовує у засобах масової інформації роз'яснювальну роботу, пов'язану із застосуванням законодавства з питань, що належать до компетенції ДПС;</w:t>
            </w:r>
          </w:p>
          <w:p w:rsidR="001E7D0F" w:rsidRPr="00704945" w:rsidRDefault="001E7D0F" w:rsidP="001E7D0F">
            <w:pPr>
              <w:pStyle w:val="a9"/>
              <w:spacing w:before="0" w:beforeAutospacing="0" w:after="0" w:afterAutospacing="0"/>
              <w:jc w:val="both"/>
            </w:pPr>
            <w:r>
              <w:t xml:space="preserve">організовує роботу територіальних органів ДПС, координує та контролює їх діяльність </w:t>
            </w:r>
          </w:p>
          <w:p w:rsidR="001E7D0F" w:rsidRDefault="001E7D0F" w:rsidP="001E7D0F">
            <w:pPr>
              <w:pStyle w:val="a9"/>
              <w:spacing w:before="0" w:beforeAutospacing="0" w:after="0" w:afterAutospacing="0"/>
              <w:jc w:val="both"/>
            </w:pPr>
            <w:r>
              <w:t>надає територіальним органам ДПС методичну і практичну допомогу в організації роботи, проводить перевірку стану такої роботи.</w:t>
            </w:r>
          </w:p>
          <w:p w:rsidR="001E7D0F" w:rsidRDefault="001E7D0F" w:rsidP="001E7D0F">
            <w:pPr>
              <w:pStyle w:val="a9"/>
              <w:spacing w:before="0" w:beforeAutospacing="0" w:after="0" w:afterAutospacing="0"/>
              <w:jc w:val="both"/>
            </w:pPr>
            <w:r>
              <w:t xml:space="preserve">При цьому Міністерство фінансів </w:t>
            </w:r>
            <w:r w:rsidRPr="001E7D0F">
              <w:t>проводить періодичне узагальнення індивідуальних податкових консультацій, а також аналізує обставини, що свідчать про неоднозначність окремих норм податкового та іншого законодавства, контроль за дотриманням якого покладено на контролюючі органи, шляхом надання узагальнюючих податкових консультацій, які затверджуються наказом цього органу.</w:t>
            </w:r>
          </w:p>
          <w:p w:rsidR="001E7D0F" w:rsidRPr="001D3F84" w:rsidRDefault="001E7D0F" w:rsidP="006927A7">
            <w:pPr>
              <w:jc w:val="both"/>
              <w:rPr>
                <w:rFonts w:ascii="Times New Roman" w:hAnsi="Times New Roman" w:cs="Times New Roman"/>
                <w:sz w:val="24"/>
                <w:szCs w:val="24"/>
              </w:rPr>
            </w:pPr>
          </w:p>
        </w:tc>
        <w:tc>
          <w:tcPr>
            <w:tcW w:w="4677" w:type="dxa"/>
          </w:tcPr>
          <w:p w:rsidR="00572EDC" w:rsidRPr="00303184" w:rsidRDefault="003F4006" w:rsidP="00DF2809">
            <w:pPr>
              <w:jc w:val="both"/>
              <w:rPr>
                <w:rFonts w:ascii="Times New Roman" w:hAnsi="Times New Roman" w:cs="Times New Roman"/>
                <w:sz w:val="24"/>
                <w:szCs w:val="24"/>
              </w:rPr>
            </w:pPr>
            <w:r>
              <w:rPr>
                <w:rFonts w:ascii="Times New Roman" w:hAnsi="Times New Roman" w:cs="Times New Roman"/>
                <w:sz w:val="24"/>
                <w:szCs w:val="24"/>
              </w:rPr>
              <w:t>У</w:t>
            </w:r>
            <w:r w:rsidR="005B37DB">
              <w:rPr>
                <w:rFonts w:ascii="Times New Roman" w:hAnsi="Times New Roman" w:cs="Times New Roman"/>
                <w:sz w:val="24"/>
                <w:szCs w:val="24"/>
              </w:rPr>
              <w:t xml:space="preserve"> разі прийняття </w:t>
            </w:r>
            <w:r w:rsidR="00DF2809" w:rsidRPr="005B37DB">
              <w:rPr>
                <w:rFonts w:ascii="Times New Roman" w:hAnsi="Times New Roman" w:cs="Times New Roman"/>
                <w:sz w:val="24"/>
                <w:szCs w:val="24"/>
              </w:rPr>
              <w:t>зазначених вище</w:t>
            </w:r>
            <w:r w:rsidR="00DF2809">
              <w:rPr>
                <w:rFonts w:ascii="Times New Roman" w:hAnsi="Times New Roman" w:cs="Times New Roman"/>
                <w:sz w:val="24"/>
                <w:szCs w:val="24"/>
              </w:rPr>
              <w:t xml:space="preserve"> </w:t>
            </w:r>
            <w:r w:rsidR="005B37DB">
              <w:rPr>
                <w:rFonts w:ascii="Times New Roman" w:hAnsi="Times New Roman" w:cs="Times New Roman"/>
                <w:sz w:val="24"/>
                <w:szCs w:val="24"/>
              </w:rPr>
              <w:t xml:space="preserve">змін до Податкового кодексу України, ДПС будуть здійснені заходи відповідно до Положення про </w:t>
            </w:r>
            <w:r w:rsidR="005B37DB" w:rsidRPr="00704945">
              <w:rPr>
                <w:rFonts w:ascii="Times New Roman" w:hAnsi="Times New Roman" w:cs="Times New Roman"/>
                <w:sz w:val="24"/>
                <w:szCs w:val="24"/>
              </w:rPr>
              <w:t>Державну податкову службу України, затвердженого постановою Кабінету Міністрів України від 6 березня 2019 року № 227 (зі змінами)</w:t>
            </w:r>
            <w:r w:rsidR="005B37DB">
              <w:rPr>
                <w:rFonts w:ascii="Times New Roman" w:hAnsi="Times New Roman" w:cs="Times New Roman"/>
                <w:sz w:val="24"/>
                <w:szCs w:val="24"/>
              </w:rPr>
              <w:t>.</w:t>
            </w:r>
          </w:p>
        </w:tc>
      </w:tr>
      <w:tr w:rsidR="00572EDC" w:rsidRPr="00303184" w:rsidTr="0037497D">
        <w:tc>
          <w:tcPr>
            <w:tcW w:w="5949" w:type="dxa"/>
          </w:tcPr>
          <w:p w:rsidR="0030470A" w:rsidRPr="00303184" w:rsidRDefault="008F3B79" w:rsidP="00303184">
            <w:pPr>
              <w:jc w:val="both"/>
              <w:rPr>
                <w:rFonts w:ascii="Times New Roman" w:hAnsi="Times New Roman" w:cs="Times New Roman"/>
                <w:sz w:val="24"/>
                <w:szCs w:val="24"/>
              </w:rPr>
            </w:pPr>
            <w:r w:rsidRPr="00303184">
              <w:rPr>
                <w:rFonts w:ascii="Times New Roman" w:hAnsi="Times New Roman" w:cs="Times New Roman"/>
                <w:sz w:val="24"/>
                <w:szCs w:val="24"/>
              </w:rPr>
              <w:t xml:space="preserve">(iii) Країни-члени та інші Сторони Конвенції ОЕСР про боротьбу з підкупом розглянути можливість включити до своїх двосторонніх податкових угод необов’язкове формулювання пункту 12.3 Коментаря до Статті 26 Типової конвенції ОЕСР про оподаткування, яке дозволяє «обмін податковою інформацією між податковими органами та іншими правоохоронними органами і судовими органами щодо певних пріоритетних питань (наприклад, щодо боротьби з відмиванням грошей, корупцією, фінансуванням тероризму)» </w:t>
            </w:r>
            <w:r w:rsidR="0030470A" w:rsidRPr="00303184">
              <w:rPr>
                <w:rFonts w:ascii="Times New Roman" w:hAnsi="Times New Roman" w:cs="Times New Roman"/>
                <w:sz w:val="24"/>
                <w:szCs w:val="24"/>
              </w:rPr>
              <w:t>і звучить так:</w:t>
            </w:r>
          </w:p>
          <w:p w:rsidR="00572EDC" w:rsidRPr="00303184" w:rsidRDefault="008F3B79" w:rsidP="00303184">
            <w:pPr>
              <w:jc w:val="both"/>
              <w:rPr>
                <w:rFonts w:ascii="Times New Roman" w:hAnsi="Times New Roman" w:cs="Times New Roman"/>
                <w:i/>
                <w:sz w:val="24"/>
                <w:szCs w:val="24"/>
              </w:rPr>
            </w:pPr>
            <w:r w:rsidRPr="00303184">
              <w:rPr>
                <w:rFonts w:ascii="Times New Roman" w:hAnsi="Times New Roman" w:cs="Times New Roman"/>
                <w:i/>
                <w:sz w:val="24"/>
                <w:szCs w:val="24"/>
              </w:rPr>
              <w:t>«Незважаючи на вищезазначене, інформація, отримана Договірною державою, може використовуватися для інших цілей, якщо така інформація може використовуватися для таких інших цілей відповідно до законодавства обох держав і компетентний орган держави, що її надає, дозволяє таке використання».</w:t>
            </w:r>
          </w:p>
          <w:p w:rsidR="00303184" w:rsidRPr="00303184" w:rsidRDefault="00303184" w:rsidP="00303184">
            <w:pPr>
              <w:jc w:val="both"/>
              <w:rPr>
                <w:rFonts w:ascii="Times New Roman" w:hAnsi="Times New Roman" w:cs="Times New Roman"/>
                <w:sz w:val="24"/>
                <w:szCs w:val="24"/>
              </w:rPr>
            </w:pPr>
          </w:p>
        </w:tc>
        <w:tc>
          <w:tcPr>
            <w:tcW w:w="4678" w:type="dxa"/>
          </w:tcPr>
          <w:p w:rsidR="00942AE2" w:rsidRDefault="00942AE2" w:rsidP="00942AE2">
            <w:pPr>
              <w:jc w:val="both"/>
              <w:rPr>
                <w:rFonts w:ascii="Times New Roman" w:hAnsi="Times New Roman" w:cs="Times New Roman"/>
                <w:sz w:val="24"/>
                <w:szCs w:val="24"/>
              </w:rPr>
            </w:pPr>
            <w:r>
              <w:rPr>
                <w:rFonts w:ascii="Times New Roman" w:hAnsi="Times New Roman" w:cs="Times New Roman"/>
                <w:sz w:val="24"/>
                <w:szCs w:val="24"/>
              </w:rPr>
              <w:t xml:space="preserve">На сьогоднішній день між Україною та іншими країнами діють 72 міжнародні двосторонні конвенції (угоди) про уникнення подвійного оподаткування. З них 9 конвенцій  містять зазначене у Рекомендації </w:t>
            </w:r>
            <w:r w:rsidR="00412B15">
              <w:rPr>
                <w:rFonts w:ascii="Times New Roman" w:hAnsi="Times New Roman" w:cs="Times New Roman"/>
                <w:sz w:val="24"/>
                <w:szCs w:val="24"/>
              </w:rPr>
              <w:t xml:space="preserve">Ради ОЕСР </w:t>
            </w:r>
            <w:r>
              <w:rPr>
                <w:rFonts w:ascii="Times New Roman" w:hAnsi="Times New Roman" w:cs="Times New Roman"/>
                <w:sz w:val="24"/>
                <w:szCs w:val="24"/>
              </w:rPr>
              <w:t xml:space="preserve">положення, яке відповідає пункту 12.3 Коментаря до Статті 26 Типової податкової конвенції ОЕСР. </w:t>
            </w:r>
          </w:p>
          <w:p w:rsidR="00942AE2" w:rsidRDefault="00942AE2" w:rsidP="00942AE2">
            <w:pPr>
              <w:jc w:val="both"/>
              <w:rPr>
                <w:rFonts w:ascii="Times New Roman" w:hAnsi="Times New Roman" w:cs="Times New Roman"/>
                <w:sz w:val="24"/>
                <w:szCs w:val="24"/>
              </w:rPr>
            </w:pPr>
            <w:r>
              <w:rPr>
                <w:rFonts w:ascii="Times New Roman" w:hAnsi="Times New Roman" w:cs="Times New Roman"/>
                <w:sz w:val="24"/>
                <w:szCs w:val="24"/>
              </w:rPr>
              <w:t>Зокрема, це конвенції з такими країнами:</w:t>
            </w:r>
          </w:p>
          <w:p w:rsidR="00942AE2" w:rsidRDefault="00942AE2" w:rsidP="00942AE2">
            <w:pPr>
              <w:pStyle w:val="a3"/>
              <w:numPr>
                <w:ilvl w:val="0"/>
                <w:numId w:val="5"/>
              </w:numPr>
              <w:spacing w:line="256" w:lineRule="auto"/>
              <w:ind w:left="461" w:hanging="284"/>
              <w:rPr>
                <w:rFonts w:ascii="Times New Roman" w:hAnsi="Times New Roman" w:cs="Times New Roman"/>
                <w:sz w:val="24"/>
                <w:szCs w:val="24"/>
              </w:rPr>
            </w:pPr>
            <w:r>
              <w:rPr>
                <w:rFonts w:ascii="Times New Roman" w:hAnsi="Times New Roman" w:cs="Times New Roman"/>
                <w:sz w:val="24"/>
                <w:szCs w:val="24"/>
              </w:rPr>
              <w:t>Республіка Австрія;</w:t>
            </w:r>
          </w:p>
          <w:p w:rsidR="00942AE2" w:rsidRDefault="00942AE2" w:rsidP="00942AE2">
            <w:pPr>
              <w:pStyle w:val="a3"/>
              <w:numPr>
                <w:ilvl w:val="0"/>
                <w:numId w:val="5"/>
              </w:numPr>
              <w:spacing w:line="256" w:lineRule="auto"/>
              <w:ind w:left="461" w:hanging="284"/>
              <w:rPr>
                <w:rFonts w:ascii="Times New Roman" w:hAnsi="Times New Roman" w:cs="Times New Roman"/>
                <w:sz w:val="24"/>
                <w:szCs w:val="24"/>
              </w:rPr>
            </w:pPr>
            <w:r>
              <w:rPr>
                <w:rFonts w:ascii="Times New Roman" w:hAnsi="Times New Roman" w:cs="Times New Roman"/>
                <w:sz w:val="24"/>
                <w:szCs w:val="24"/>
              </w:rPr>
              <w:t>Сполучене Королівство Великобританії і Північної Ірландії;</w:t>
            </w:r>
          </w:p>
          <w:p w:rsidR="00942AE2" w:rsidRDefault="00942AE2" w:rsidP="00942AE2">
            <w:pPr>
              <w:pStyle w:val="a3"/>
              <w:numPr>
                <w:ilvl w:val="0"/>
                <w:numId w:val="6"/>
              </w:numPr>
              <w:spacing w:line="256" w:lineRule="auto"/>
              <w:ind w:left="461" w:hanging="284"/>
              <w:rPr>
                <w:rFonts w:ascii="Times New Roman" w:hAnsi="Times New Roman" w:cs="Times New Roman"/>
                <w:sz w:val="24"/>
                <w:szCs w:val="24"/>
              </w:rPr>
            </w:pPr>
            <w:r>
              <w:rPr>
                <w:rFonts w:ascii="Times New Roman" w:hAnsi="Times New Roman" w:cs="Times New Roman"/>
                <w:sz w:val="24"/>
                <w:szCs w:val="24"/>
              </w:rPr>
              <w:t>Королівство Данія;</w:t>
            </w:r>
          </w:p>
          <w:p w:rsidR="00942AE2" w:rsidRDefault="00942AE2" w:rsidP="00942AE2">
            <w:pPr>
              <w:pStyle w:val="a3"/>
              <w:numPr>
                <w:ilvl w:val="0"/>
                <w:numId w:val="6"/>
              </w:numPr>
              <w:spacing w:line="256" w:lineRule="auto"/>
              <w:ind w:left="461" w:hanging="284"/>
              <w:rPr>
                <w:rFonts w:ascii="Times New Roman" w:hAnsi="Times New Roman" w:cs="Times New Roman"/>
                <w:sz w:val="24"/>
                <w:szCs w:val="24"/>
              </w:rPr>
            </w:pPr>
            <w:r>
              <w:rPr>
                <w:rFonts w:ascii="Times New Roman" w:hAnsi="Times New Roman" w:cs="Times New Roman"/>
                <w:sz w:val="24"/>
                <w:szCs w:val="24"/>
              </w:rPr>
              <w:t>Держава Катар;</w:t>
            </w:r>
          </w:p>
          <w:p w:rsidR="00942AE2" w:rsidRDefault="00942AE2" w:rsidP="00942AE2">
            <w:pPr>
              <w:pStyle w:val="a3"/>
              <w:numPr>
                <w:ilvl w:val="0"/>
                <w:numId w:val="6"/>
              </w:numPr>
              <w:spacing w:line="256" w:lineRule="auto"/>
              <w:ind w:left="461" w:hanging="284"/>
              <w:rPr>
                <w:rFonts w:ascii="Times New Roman" w:hAnsi="Times New Roman" w:cs="Times New Roman"/>
                <w:sz w:val="24"/>
                <w:szCs w:val="24"/>
              </w:rPr>
            </w:pPr>
            <w:r>
              <w:rPr>
                <w:rFonts w:ascii="Times New Roman" w:hAnsi="Times New Roman" w:cs="Times New Roman"/>
                <w:sz w:val="24"/>
                <w:szCs w:val="24"/>
              </w:rPr>
              <w:t>Велике Герцогство Люксембург;</w:t>
            </w:r>
          </w:p>
          <w:p w:rsidR="00942AE2" w:rsidRDefault="00942AE2" w:rsidP="00942AE2">
            <w:pPr>
              <w:pStyle w:val="a3"/>
              <w:numPr>
                <w:ilvl w:val="0"/>
                <w:numId w:val="6"/>
              </w:numPr>
              <w:spacing w:line="256" w:lineRule="auto"/>
              <w:ind w:left="461" w:hanging="284"/>
              <w:rPr>
                <w:rFonts w:ascii="Times New Roman" w:hAnsi="Times New Roman" w:cs="Times New Roman"/>
                <w:sz w:val="24"/>
                <w:szCs w:val="24"/>
              </w:rPr>
            </w:pPr>
            <w:r>
              <w:rPr>
                <w:rFonts w:ascii="Times New Roman" w:hAnsi="Times New Roman" w:cs="Times New Roman"/>
                <w:sz w:val="24"/>
                <w:szCs w:val="24"/>
              </w:rPr>
              <w:t>Королівство Нідерланди;</w:t>
            </w:r>
          </w:p>
          <w:p w:rsidR="00942AE2" w:rsidRDefault="00942AE2" w:rsidP="00942AE2">
            <w:pPr>
              <w:pStyle w:val="a3"/>
              <w:numPr>
                <w:ilvl w:val="0"/>
                <w:numId w:val="6"/>
              </w:numPr>
              <w:spacing w:line="256" w:lineRule="auto"/>
              <w:ind w:left="461" w:hanging="284"/>
              <w:rPr>
                <w:rFonts w:ascii="Times New Roman" w:hAnsi="Times New Roman" w:cs="Times New Roman"/>
                <w:sz w:val="24"/>
                <w:szCs w:val="24"/>
              </w:rPr>
            </w:pPr>
            <w:r>
              <w:rPr>
                <w:rFonts w:ascii="Times New Roman" w:hAnsi="Times New Roman" w:cs="Times New Roman"/>
                <w:sz w:val="24"/>
                <w:szCs w:val="24"/>
              </w:rPr>
              <w:t>Об’єднані Арабські Емірати;</w:t>
            </w:r>
          </w:p>
          <w:p w:rsidR="00942AE2" w:rsidRDefault="00942AE2" w:rsidP="00942AE2">
            <w:pPr>
              <w:pStyle w:val="a3"/>
              <w:numPr>
                <w:ilvl w:val="0"/>
                <w:numId w:val="6"/>
              </w:numPr>
              <w:spacing w:line="256" w:lineRule="auto"/>
              <w:ind w:left="461" w:hanging="284"/>
              <w:rPr>
                <w:rFonts w:ascii="Times New Roman" w:hAnsi="Times New Roman" w:cs="Times New Roman"/>
                <w:sz w:val="24"/>
                <w:szCs w:val="24"/>
              </w:rPr>
            </w:pPr>
            <w:r>
              <w:rPr>
                <w:rFonts w:ascii="Times New Roman" w:hAnsi="Times New Roman" w:cs="Times New Roman"/>
                <w:sz w:val="24"/>
                <w:szCs w:val="24"/>
              </w:rPr>
              <w:t>Турецька Республіка;</w:t>
            </w:r>
          </w:p>
          <w:p w:rsidR="00572EDC" w:rsidRPr="00942AE2" w:rsidRDefault="00942AE2" w:rsidP="00942AE2">
            <w:pPr>
              <w:pStyle w:val="a3"/>
              <w:numPr>
                <w:ilvl w:val="0"/>
                <w:numId w:val="6"/>
              </w:numPr>
              <w:spacing w:line="256" w:lineRule="auto"/>
              <w:ind w:left="461" w:hanging="284"/>
              <w:rPr>
                <w:rFonts w:ascii="Times New Roman" w:hAnsi="Times New Roman" w:cs="Times New Roman"/>
                <w:sz w:val="24"/>
                <w:szCs w:val="24"/>
              </w:rPr>
            </w:pPr>
            <w:r w:rsidRPr="00942AE2">
              <w:rPr>
                <w:rFonts w:ascii="Times New Roman" w:hAnsi="Times New Roman" w:cs="Times New Roman"/>
                <w:sz w:val="24"/>
                <w:szCs w:val="24"/>
              </w:rPr>
              <w:t>Швейцарська Федеральна Рада.</w:t>
            </w:r>
          </w:p>
        </w:tc>
        <w:tc>
          <w:tcPr>
            <w:tcW w:w="4677" w:type="dxa"/>
          </w:tcPr>
          <w:p w:rsidR="00572EDC" w:rsidRPr="00303184" w:rsidRDefault="00942AE2" w:rsidP="00942AE2">
            <w:pPr>
              <w:jc w:val="both"/>
              <w:rPr>
                <w:rFonts w:ascii="Times New Roman" w:hAnsi="Times New Roman" w:cs="Times New Roman"/>
                <w:sz w:val="24"/>
                <w:szCs w:val="24"/>
              </w:rPr>
            </w:pPr>
            <w:r>
              <w:rPr>
                <w:rFonts w:ascii="Times New Roman" w:hAnsi="Times New Roman" w:cs="Times New Roman"/>
                <w:sz w:val="24"/>
                <w:szCs w:val="24"/>
              </w:rPr>
              <w:t>Міністерство фінансів України докладатиме усіх зусиль для включення даного положення Рекомендації Ради ОЕСР в чинні конвенції (угоди) про уникнення подвійного оподаткування під час проведення переговорів про внесення змін до них та при укладенні нових договорів про уникнення подвійного оподаткування.</w:t>
            </w:r>
          </w:p>
        </w:tc>
      </w:tr>
      <w:tr w:rsidR="005B37DB" w:rsidRPr="00303184" w:rsidTr="005B37DB">
        <w:tc>
          <w:tcPr>
            <w:tcW w:w="5949" w:type="dxa"/>
          </w:tcPr>
          <w:p w:rsidR="005B37DB" w:rsidRPr="001D3F84" w:rsidRDefault="005B37DB" w:rsidP="005B37DB">
            <w:pPr>
              <w:jc w:val="both"/>
              <w:rPr>
                <w:rFonts w:ascii="Times New Roman" w:hAnsi="Times New Roman" w:cs="Times New Roman"/>
                <w:sz w:val="24"/>
                <w:szCs w:val="24"/>
              </w:rPr>
            </w:pPr>
            <w:r w:rsidRPr="001D3F84">
              <w:rPr>
                <w:rFonts w:ascii="Times New Roman" w:hAnsi="Times New Roman" w:cs="Times New Roman"/>
                <w:sz w:val="24"/>
                <w:szCs w:val="24"/>
              </w:rPr>
              <w:t>II. Також РЕКОМЕНДУЄ країнам-членам та іншим Сторонам Конвенції ОЕСР про боротьбу з підкупом, відповідно до їхніх правових систем, створити ефективну правову та адміністративну базу та надати вказівки для полегшення повідомлення податковими органами про підозри у підкупі іноземних посадових осіб, що виникають під час виконання ними своїх обов’язків, відповідним національним правоохоронним органам.</w:t>
            </w:r>
          </w:p>
        </w:tc>
        <w:tc>
          <w:tcPr>
            <w:tcW w:w="4678" w:type="dxa"/>
          </w:tcPr>
          <w:p w:rsidR="005B37DB" w:rsidRPr="004768A3" w:rsidRDefault="005B37DB" w:rsidP="005B37DB">
            <w:pPr>
              <w:jc w:val="both"/>
              <w:rPr>
                <w:rFonts w:ascii="Times New Roman" w:hAnsi="Times New Roman" w:cs="Times New Roman"/>
                <w:sz w:val="24"/>
                <w:szCs w:val="24"/>
              </w:rPr>
            </w:pPr>
            <w:r w:rsidRPr="004768A3">
              <w:rPr>
                <w:rFonts w:ascii="Times New Roman" w:hAnsi="Times New Roman" w:cs="Times New Roman"/>
                <w:sz w:val="24"/>
                <w:szCs w:val="24"/>
              </w:rPr>
              <w:t xml:space="preserve">У випадку </w:t>
            </w:r>
            <w:r w:rsidRPr="004768A3">
              <w:rPr>
                <w:rFonts w:ascii="Times New Roman" w:hAnsi="Times New Roman" w:cs="Times New Roman"/>
                <w:sz w:val="24"/>
                <w:szCs w:val="24"/>
                <w:lang w:eastAsia="uk-UA"/>
              </w:rPr>
              <w:t>виявлення контролюючим органом за результатами контрольно-перевірочної роботи порушень чинного законодавства з питань оподаткування</w:t>
            </w:r>
            <w:r w:rsidRPr="004768A3">
              <w:rPr>
                <w:rFonts w:ascii="Times New Roman" w:hAnsi="Times New Roman" w:cs="Times New Roman"/>
                <w:sz w:val="24"/>
                <w:szCs w:val="24"/>
                <w:lang w:val="ru-RU" w:eastAsia="uk-UA"/>
              </w:rPr>
              <w:t xml:space="preserve"> та </w:t>
            </w:r>
            <w:r w:rsidRPr="004768A3">
              <w:rPr>
                <w:rFonts w:ascii="Times New Roman" w:hAnsi="Times New Roman" w:cs="Times New Roman"/>
                <w:sz w:val="24"/>
                <w:szCs w:val="24"/>
                <w:lang w:eastAsia="uk-UA"/>
              </w:rPr>
              <w:t>і</w:t>
            </w:r>
            <w:proofErr w:type="spellStart"/>
            <w:r w:rsidRPr="004768A3">
              <w:rPr>
                <w:rFonts w:ascii="Times New Roman" w:hAnsi="Times New Roman" w:cs="Times New Roman"/>
                <w:sz w:val="24"/>
                <w:szCs w:val="24"/>
                <w:lang w:val="ru-RU" w:eastAsia="uk-UA"/>
              </w:rPr>
              <w:t>ншого</w:t>
            </w:r>
            <w:proofErr w:type="spellEnd"/>
            <w:r w:rsidRPr="004768A3">
              <w:rPr>
                <w:rFonts w:ascii="Times New Roman" w:hAnsi="Times New Roman" w:cs="Times New Roman"/>
                <w:sz w:val="24"/>
                <w:szCs w:val="24"/>
                <w:lang w:val="ru-RU" w:eastAsia="uk-UA"/>
              </w:rPr>
              <w:t xml:space="preserve"> </w:t>
            </w:r>
            <w:proofErr w:type="spellStart"/>
            <w:r w:rsidRPr="004768A3">
              <w:rPr>
                <w:rFonts w:ascii="Times New Roman" w:hAnsi="Times New Roman" w:cs="Times New Roman"/>
                <w:sz w:val="24"/>
                <w:szCs w:val="24"/>
                <w:lang w:val="ru-RU" w:eastAsia="uk-UA"/>
              </w:rPr>
              <w:t>законодавства</w:t>
            </w:r>
            <w:proofErr w:type="spellEnd"/>
            <w:r w:rsidRPr="004768A3">
              <w:rPr>
                <w:rFonts w:ascii="Times New Roman" w:hAnsi="Times New Roman" w:cs="Times New Roman"/>
                <w:sz w:val="24"/>
                <w:szCs w:val="24"/>
                <w:lang w:val="ru-RU" w:eastAsia="uk-UA"/>
              </w:rPr>
              <w:t xml:space="preserve">, </w:t>
            </w:r>
            <w:r w:rsidRPr="004768A3">
              <w:rPr>
                <w:rFonts w:ascii="Times New Roman" w:hAnsi="Times New Roman" w:cs="Times New Roman"/>
                <w:sz w:val="24"/>
                <w:szCs w:val="24"/>
                <w:lang w:eastAsia="uk-UA"/>
              </w:rPr>
              <w:t xml:space="preserve">які містять ознаки </w:t>
            </w:r>
            <w:r w:rsidRPr="004768A3">
              <w:rPr>
                <w:rFonts w:ascii="Times New Roman" w:hAnsi="Times New Roman" w:cs="Times New Roman"/>
                <w:sz w:val="24"/>
                <w:szCs w:val="24"/>
              </w:rPr>
              <w:t>кримінальних правопорушень</w:t>
            </w:r>
            <w:r w:rsidRPr="004768A3">
              <w:rPr>
                <w:rFonts w:ascii="Times New Roman" w:hAnsi="Times New Roman" w:cs="Times New Roman"/>
                <w:sz w:val="24"/>
                <w:szCs w:val="24"/>
                <w:lang w:eastAsia="uk-UA"/>
              </w:rPr>
              <w:t xml:space="preserve"> (сума завданої державі шкоди або замаху на заподіяння шкоди є достатньою для притягнення до кримінальної відповідальності), такий контролюючий орган зобов’язаний повідомити про вчинене кримінальне правопорушення відповідний слідчий орган для внесення відомостей до Єдиного реєстру досудових розслідувань (ст. 214 Кримінального процесуального кодексу України – далі КПК України). Ненадання контролюючим органом зазначених відомостей може розглядатись як приховування злочину з точки зору кримінально-процесуального законодавства.</w:t>
            </w:r>
          </w:p>
          <w:p w:rsidR="005B37DB" w:rsidRPr="004768A3" w:rsidRDefault="005B37DB" w:rsidP="009D3017">
            <w:pPr>
              <w:kinsoku w:val="0"/>
              <w:overflowPunct w:val="0"/>
              <w:ind w:right="72"/>
              <w:jc w:val="both"/>
              <w:textAlignment w:val="baseline"/>
              <w:rPr>
                <w:rFonts w:ascii="Times New Roman" w:hAnsi="Times New Roman" w:cs="Times New Roman"/>
                <w:sz w:val="24"/>
                <w:szCs w:val="24"/>
              </w:rPr>
            </w:pPr>
            <w:r w:rsidRPr="004768A3">
              <w:rPr>
                <w:rFonts w:ascii="Times New Roman" w:hAnsi="Times New Roman" w:cs="Times New Roman"/>
                <w:sz w:val="24"/>
                <w:szCs w:val="24"/>
              </w:rPr>
              <w:t>При цьому згідно зі ст. 216 КПК України підслідність досудового розслідування певних злочинів закріплена за окремими правоохоронними органами.</w:t>
            </w:r>
          </w:p>
          <w:p w:rsidR="005B37DB" w:rsidRPr="004768A3" w:rsidRDefault="005B37DB" w:rsidP="009D3017">
            <w:pPr>
              <w:kinsoku w:val="0"/>
              <w:overflowPunct w:val="0"/>
              <w:ind w:right="72"/>
              <w:jc w:val="both"/>
              <w:textAlignment w:val="baseline"/>
              <w:rPr>
                <w:rFonts w:ascii="Times New Roman" w:hAnsi="Times New Roman" w:cs="Times New Roman"/>
                <w:sz w:val="24"/>
                <w:szCs w:val="24"/>
              </w:rPr>
            </w:pPr>
            <w:r w:rsidRPr="004768A3">
              <w:rPr>
                <w:rFonts w:ascii="Times New Roman" w:hAnsi="Times New Roman" w:cs="Times New Roman"/>
                <w:sz w:val="24"/>
                <w:szCs w:val="24"/>
              </w:rPr>
              <w:t>Так, детективи органів Бюро економічної безпеки України здійснюють досудове розслідування кримінальних правопорушень, передбачених:</w:t>
            </w:r>
          </w:p>
          <w:p w:rsidR="005B37DB" w:rsidRPr="004768A3" w:rsidRDefault="005B37DB" w:rsidP="009D3017">
            <w:pPr>
              <w:kinsoku w:val="0"/>
              <w:overflowPunct w:val="0"/>
              <w:ind w:right="72"/>
              <w:jc w:val="both"/>
              <w:textAlignment w:val="baseline"/>
              <w:rPr>
                <w:rFonts w:ascii="Times New Roman" w:hAnsi="Times New Roman" w:cs="Times New Roman"/>
                <w:sz w:val="24"/>
                <w:szCs w:val="24"/>
              </w:rPr>
            </w:pPr>
            <w:r w:rsidRPr="004768A3">
              <w:rPr>
                <w:rFonts w:ascii="Times New Roman" w:hAnsi="Times New Roman" w:cs="Times New Roman"/>
                <w:sz w:val="24"/>
                <w:szCs w:val="24"/>
              </w:rPr>
              <w:t xml:space="preserve">1. </w:t>
            </w:r>
            <w:r w:rsidR="009D3017">
              <w:rPr>
                <w:rFonts w:ascii="Times New Roman" w:hAnsi="Times New Roman" w:cs="Times New Roman"/>
                <w:sz w:val="24"/>
                <w:szCs w:val="24"/>
              </w:rPr>
              <w:t>статтями</w:t>
            </w:r>
            <w:r w:rsidRPr="004768A3">
              <w:rPr>
                <w:rFonts w:ascii="Times New Roman" w:hAnsi="Times New Roman" w:cs="Times New Roman"/>
                <w:sz w:val="24"/>
                <w:szCs w:val="24"/>
              </w:rPr>
              <w:t xml:space="preserve"> 199, 200, 203</w:t>
            </w:r>
            <w:r w:rsidRPr="004768A3">
              <w:rPr>
                <w:rFonts w:ascii="Times New Roman" w:hAnsi="Times New Roman" w:cs="Times New Roman"/>
                <w:sz w:val="24"/>
                <w:szCs w:val="24"/>
                <w:vertAlign w:val="superscript"/>
              </w:rPr>
              <w:t>2</w:t>
            </w:r>
            <w:r w:rsidRPr="004768A3">
              <w:rPr>
                <w:rFonts w:ascii="Times New Roman" w:hAnsi="Times New Roman" w:cs="Times New Roman"/>
                <w:sz w:val="24"/>
                <w:szCs w:val="24"/>
              </w:rPr>
              <w:t>, 204, 205</w:t>
            </w:r>
            <w:r w:rsidRPr="004768A3">
              <w:rPr>
                <w:rFonts w:ascii="Times New Roman" w:hAnsi="Times New Roman" w:cs="Times New Roman"/>
                <w:sz w:val="24"/>
                <w:szCs w:val="24"/>
                <w:vertAlign w:val="superscript"/>
              </w:rPr>
              <w:t>1</w:t>
            </w:r>
            <w:r w:rsidRPr="004768A3">
              <w:rPr>
                <w:rFonts w:ascii="Times New Roman" w:hAnsi="Times New Roman" w:cs="Times New Roman"/>
                <w:sz w:val="24"/>
                <w:szCs w:val="24"/>
              </w:rPr>
              <w:t>, 206, 212, 212</w:t>
            </w:r>
            <w:r w:rsidRPr="004768A3">
              <w:rPr>
                <w:rFonts w:ascii="Times New Roman" w:hAnsi="Times New Roman" w:cs="Times New Roman"/>
                <w:sz w:val="24"/>
                <w:szCs w:val="24"/>
                <w:vertAlign w:val="superscript"/>
              </w:rPr>
              <w:t>1</w:t>
            </w:r>
            <w:r w:rsidRPr="004768A3">
              <w:rPr>
                <w:rFonts w:ascii="Times New Roman" w:hAnsi="Times New Roman" w:cs="Times New Roman"/>
                <w:sz w:val="24"/>
                <w:szCs w:val="24"/>
              </w:rPr>
              <w:t>, 218</w:t>
            </w:r>
            <w:r w:rsidRPr="004768A3">
              <w:rPr>
                <w:rFonts w:ascii="Times New Roman" w:hAnsi="Times New Roman" w:cs="Times New Roman"/>
                <w:sz w:val="24"/>
                <w:szCs w:val="24"/>
                <w:vertAlign w:val="superscript"/>
              </w:rPr>
              <w:t>1</w:t>
            </w:r>
            <w:r w:rsidRPr="004768A3">
              <w:rPr>
                <w:rFonts w:ascii="Times New Roman" w:hAnsi="Times New Roman" w:cs="Times New Roman"/>
                <w:sz w:val="24"/>
                <w:szCs w:val="24"/>
              </w:rPr>
              <w:t>, 219, 220</w:t>
            </w:r>
            <w:r w:rsidRPr="004768A3">
              <w:rPr>
                <w:rFonts w:ascii="Times New Roman" w:hAnsi="Times New Roman" w:cs="Times New Roman"/>
                <w:sz w:val="24"/>
                <w:szCs w:val="24"/>
                <w:vertAlign w:val="superscript"/>
              </w:rPr>
              <w:t>1</w:t>
            </w:r>
            <w:r w:rsidRPr="004768A3">
              <w:rPr>
                <w:rFonts w:ascii="Times New Roman" w:hAnsi="Times New Roman" w:cs="Times New Roman"/>
                <w:sz w:val="24"/>
                <w:szCs w:val="24"/>
              </w:rPr>
              <w:t>, 220</w:t>
            </w:r>
            <w:r w:rsidRPr="004768A3">
              <w:rPr>
                <w:rFonts w:ascii="Times New Roman" w:hAnsi="Times New Roman" w:cs="Times New Roman"/>
                <w:sz w:val="24"/>
                <w:szCs w:val="24"/>
                <w:vertAlign w:val="superscript"/>
              </w:rPr>
              <w:t>2</w:t>
            </w:r>
            <w:r w:rsidRPr="004768A3">
              <w:rPr>
                <w:rFonts w:ascii="Times New Roman" w:hAnsi="Times New Roman" w:cs="Times New Roman"/>
                <w:sz w:val="24"/>
                <w:szCs w:val="24"/>
              </w:rPr>
              <w:t>, 222, 222</w:t>
            </w:r>
            <w:r w:rsidRPr="004768A3">
              <w:rPr>
                <w:rFonts w:ascii="Times New Roman" w:hAnsi="Times New Roman" w:cs="Times New Roman"/>
                <w:sz w:val="24"/>
                <w:szCs w:val="24"/>
                <w:vertAlign w:val="superscript"/>
              </w:rPr>
              <w:t>1</w:t>
            </w:r>
            <w:r w:rsidRPr="004768A3">
              <w:rPr>
                <w:rFonts w:ascii="Times New Roman" w:hAnsi="Times New Roman" w:cs="Times New Roman"/>
                <w:sz w:val="24"/>
                <w:szCs w:val="24"/>
              </w:rPr>
              <w:t>, 223</w:t>
            </w:r>
            <w:r w:rsidRPr="004768A3">
              <w:rPr>
                <w:rFonts w:ascii="Times New Roman" w:hAnsi="Times New Roman" w:cs="Times New Roman"/>
                <w:sz w:val="24"/>
                <w:szCs w:val="24"/>
                <w:vertAlign w:val="superscript"/>
              </w:rPr>
              <w:t>1</w:t>
            </w:r>
            <w:r w:rsidRPr="004768A3">
              <w:rPr>
                <w:rFonts w:ascii="Times New Roman" w:hAnsi="Times New Roman" w:cs="Times New Roman"/>
                <w:sz w:val="24"/>
                <w:szCs w:val="24"/>
              </w:rPr>
              <w:t>, 224, 229, 231, 232, 232</w:t>
            </w:r>
            <w:r w:rsidRPr="004768A3">
              <w:rPr>
                <w:rFonts w:ascii="Times New Roman" w:hAnsi="Times New Roman" w:cs="Times New Roman"/>
                <w:sz w:val="24"/>
                <w:szCs w:val="24"/>
                <w:vertAlign w:val="superscript"/>
              </w:rPr>
              <w:t>1</w:t>
            </w:r>
            <w:r w:rsidRPr="004768A3">
              <w:rPr>
                <w:rFonts w:ascii="Times New Roman" w:hAnsi="Times New Roman" w:cs="Times New Roman"/>
                <w:sz w:val="24"/>
                <w:szCs w:val="24"/>
              </w:rPr>
              <w:t>, 232</w:t>
            </w:r>
            <w:r w:rsidRPr="004768A3">
              <w:rPr>
                <w:rFonts w:ascii="Times New Roman" w:hAnsi="Times New Roman" w:cs="Times New Roman"/>
                <w:sz w:val="24"/>
                <w:szCs w:val="24"/>
                <w:vertAlign w:val="superscript"/>
              </w:rPr>
              <w:t>2</w:t>
            </w:r>
            <w:r w:rsidRPr="004768A3">
              <w:rPr>
                <w:rFonts w:ascii="Times New Roman" w:hAnsi="Times New Roman" w:cs="Times New Roman"/>
                <w:sz w:val="24"/>
                <w:szCs w:val="24"/>
              </w:rPr>
              <w:t xml:space="preserve">, 233 </w:t>
            </w:r>
            <w:r w:rsidR="009D3017">
              <w:rPr>
                <w:rFonts w:ascii="Times New Roman" w:hAnsi="Times New Roman" w:cs="Times New Roman"/>
                <w:sz w:val="24"/>
                <w:szCs w:val="24"/>
              </w:rPr>
              <w:t>Кримінального кодексу</w:t>
            </w:r>
            <w:r w:rsidRPr="004768A3">
              <w:rPr>
                <w:rFonts w:ascii="Times New Roman" w:hAnsi="Times New Roman" w:cs="Times New Roman"/>
                <w:sz w:val="24"/>
                <w:szCs w:val="24"/>
              </w:rPr>
              <w:t xml:space="preserve"> України</w:t>
            </w:r>
            <w:r w:rsidR="009D3017">
              <w:rPr>
                <w:rFonts w:ascii="Times New Roman" w:hAnsi="Times New Roman" w:cs="Times New Roman"/>
                <w:sz w:val="24"/>
                <w:szCs w:val="24"/>
              </w:rPr>
              <w:t xml:space="preserve"> (далі – КК України)</w:t>
            </w:r>
            <w:r w:rsidRPr="004768A3">
              <w:rPr>
                <w:rFonts w:ascii="Times New Roman" w:hAnsi="Times New Roman" w:cs="Times New Roman"/>
                <w:sz w:val="24"/>
                <w:szCs w:val="24"/>
              </w:rPr>
              <w:t>;</w:t>
            </w:r>
          </w:p>
          <w:p w:rsidR="005B37DB" w:rsidRPr="004768A3" w:rsidRDefault="005B37DB" w:rsidP="009D3017">
            <w:pPr>
              <w:kinsoku w:val="0"/>
              <w:overflowPunct w:val="0"/>
              <w:ind w:right="72"/>
              <w:jc w:val="both"/>
              <w:textAlignment w:val="baseline"/>
              <w:rPr>
                <w:rFonts w:ascii="Times New Roman" w:hAnsi="Times New Roman" w:cs="Times New Roman"/>
                <w:sz w:val="24"/>
                <w:szCs w:val="24"/>
              </w:rPr>
            </w:pPr>
            <w:r w:rsidRPr="004768A3">
              <w:rPr>
                <w:rFonts w:ascii="Times New Roman" w:hAnsi="Times New Roman" w:cs="Times New Roman"/>
                <w:sz w:val="24"/>
                <w:szCs w:val="24"/>
              </w:rPr>
              <w:t xml:space="preserve">2. </w:t>
            </w:r>
            <w:r w:rsidR="009D3017">
              <w:rPr>
                <w:rFonts w:ascii="Times New Roman" w:hAnsi="Times New Roman" w:cs="Times New Roman"/>
                <w:sz w:val="24"/>
                <w:szCs w:val="24"/>
              </w:rPr>
              <w:t>статтями</w:t>
            </w:r>
            <w:r w:rsidRPr="004768A3">
              <w:rPr>
                <w:rFonts w:ascii="Times New Roman" w:hAnsi="Times New Roman" w:cs="Times New Roman"/>
                <w:sz w:val="24"/>
                <w:szCs w:val="24"/>
              </w:rPr>
              <w:t xml:space="preserve"> 191 (якщо предметом кримінального правопорушення</w:t>
            </w:r>
            <w:r w:rsidR="00642344">
              <w:rPr>
                <w:rFonts w:ascii="Times New Roman" w:hAnsi="Times New Roman" w:cs="Times New Roman"/>
                <w:sz w:val="24"/>
                <w:szCs w:val="24"/>
              </w:rPr>
              <w:t xml:space="preserve"> є бюджетне відшкодування), 206</w:t>
            </w:r>
            <w:r w:rsidRPr="00642344">
              <w:rPr>
                <w:rFonts w:ascii="Times New Roman" w:hAnsi="Times New Roman" w:cs="Times New Roman"/>
                <w:sz w:val="24"/>
                <w:szCs w:val="24"/>
                <w:vertAlign w:val="superscript"/>
              </w:rPr>
              <w:t>2</w:t>
            </w:r>
            <w:r w:rsidRPr="004768A3">
              <w:rPr>
                <w:rFonts w:ascii="Times New Roman" w:hAnsi="Times New Roman" w:cs="Times New Roman"/>
                <w:sz w:val="24"/>
                <w:szCs w:val="24"/>
              </w:rPr>
              <w:t>, 210, 211 КК України, у разі якщо досудове розслідування таких кримінальних правопорушень не віднесено до підслідності Державного бюро розслідувань чи Національного антикорупційного бюро України;</w:t>
            </w:r>
          </w:p>
          <w:p w:rsidR="005B37DB" w:rsidRPr="004768A3" w:rsidRDefault="005B37DB" w:rsidP="00642344">
            <w:pPr>
              <w:kinsoku w:val="0"/>
              <w:overflowPunct w:val="0"/>
              <w:ind w:right="72"/>
              <w:jc w:val="both"/>
              <w:textAlignment w:val="baseline"/>
              <w:rPr>
                <w:rFonts w:ascii="Times New Roman" w:hAnsi="Times New Roman" w:cs="Times New Roman"/>
                <w:sz w:val="24"/>
                <w:szCs w:val="24"/>
              </w:rPr>
            </w:pPr>
            <w:r w:rsidRPr="004768A3">
              <w:rPr>
                <w:rFonts w:ascii="Times New Roman" w:hAnsi="Times New Roman" w:cs="Times New Roman"/>
                <w:sz w:val="24"/>
                <w:szCs w:val="24"/>
              </w:rPr>
              <w:t xml:space="preserve">3. </w:t>
            </w:r>
            <w:r w:rsidR="00642344">
              <w:rPr>
                <w:rFonts w:ascii="Times New Roman" w:hAnsi="Times New Roman" w:cs="Times New Roman"/>
                <w:sz w:val="24"/>
                <w:szCs w:val="24"/>
              </w:rPr>
              <w:t>статтями</w:t>
            </w:r>
            <w:r w:rsidRPr="004768A3">
              <w:rPr>
                <w:rFonts w:ascii="Times New Roman" w:hAnsi="Times New Roman" w:cs="Times New Roman"/>
                <w:sz w:val="24"/>
                <w:szCs w:val="24"/>
              </w:rPr>
              <w:t xml:space="preserve"> 191 (крім випадку, передбаченого п. 2 ч. третьої цієї статті) та 364 КК України, за умови що розмір предмета такого кримінального правопорушення або завданої ним шкоди становить від п'ятисот до двох тисяч розмірів прожиткового мінімуму для працездатних осіб, встановленого законом на час вчинення кримінального правопорушення, та його вчинено службовою особою державного органу, органу місцевого самоврядування, суб'єкта господарювання, у статутному капіталі якого частка державної або комунальної власності перевищує 50 відсотків, та досудове розслідування такого кримінального правопорушення не віднесено до підслідності Державного бюро розслідувань чи Національного антикорупційного бюро України.</w:t>
            </w:r>
          </w:p>
          <w:p w:rsidR="005B37DB" w:rsidRPr="004768A3" w:rsidRDefault="005B37DB" w:rsidP="00642344">
            <w:pPr>
              <w:kinsoku w:val="0"/>
              <w:overflowPunct w:val="0"/>
              <w:ind w:right="72"/>
              <w:jc w:val="both"/>
              <w:textAlignment w:val="baseline"/>
              <w:rPr>
                <w:rFonts w:ascii="Times New Roman" w:hAnsi="Times New Roman" w:cs="Times New Roman"/>
                <w:sz w:val="24"/>
                <w:szCs w:val="24"/>
              </w:rPr>
            </w:pPr>
            <w:r w:rsidRPr="004768A3">
              <w:rPr>
                <w:rFonts w:ascii="Times New Roman" w:hAnsi="Times New Roman" w:cs="Times New Roman"/>
                <w:sz w:val="24"/>
                <w:szCs w:val="24"/>
              </w:rPr>
              <w:t xml:space="preserve">Якщо під час розслідування кримінальних правопорушень, зазначених у пунктах 1, 2 і 3 </w:t>
            </w:r>
            <w:r w:rsidR="0070497F">
              <w:rPr>
                <w:rFonts w:ascii="Times New Roman" w:hAnsi="Times New Roman" w:cs="Times New Roman"/>
                <w:sz w:val="24"/>
                <w:szCs w:val="24"/>
              </w:rPr>
              <w:t>попереднього абзацу</w:t>
            </w:r>
            <w:r w:rsidRPr="004768A3">
              <w:rPr>
                <w:rFonts w:ascii="Times New Roman" w:hAnsi="Times New Roman" w:cs="Times New Roman"/>
                <w:sz w:val="24"/>
                <w:szCs w:val="24"/>
              </w:rPr>
              <w:t>, будуть встановлені кримінальні правопорушення, передбачені статтями 192, 358, 366, 369 КК України, вчинені особою, стосовно якої здійснюється досудове розслідування, або іншою особою, якщо вони пов'язані з кримінальними правопорушеннями, вчиненими особою, стосовно якої здійснюється досудове розслідування, такі правопорушення можуть розслідуватися детективами органів Бюро економічної безпеки України, у разі якщо досудове розслідування таких кримінальних правопорушень не віднесено до підслідності Державного бюро розслідувань чи Національного антикорупційного бюро України.</w:t>
            </w:r>
          </w:p>
          <w:p w:rsidR="005B37DB" w:rsidRPr="004768A3" w:rsidRDefault="005B37DB" w:rsidP="00642344">
            <w:pPr>
              <w:kinsoku w:val="0"/>
              <w:overflowPunct w:val="0"/>
              <w:ind w:right="72"/>
              <w:jc w:val="both"/>
              <w:textAlignment w:val="baseline"/>
              <w:rPr>
                <w:rFonts w:ascii="Times New Roman" w:hAnsi="Times New Roman" w:cs="Times New Roman"/>
                <w:sz w:val="24"/>
                <w:szCs w:val="24"/>
              </w:rPr>
            </w:pPr>
            <w:r w:rsidRPr="004768A3">
              <w:rPr>
                <w:rFonts w:ascii="Times New Roman" w:hAnsi="Times New Roman" w:cs="Times New Roman"/>
                <w:sz w:val="24"/>
                <w:szCs w:val="24"/>
              </w:rPr>
              <w:t>У разі, коли в матеріалах перевірки платника податків є дані, що вказують на наявність ознак складу злочинів, які згідно зі ст. 216 КПК України не підслідні органам Бюро економічної безпеки України, такі матеріали надсилаються органом ДПС за належністю до відповідних правоохоронних органів.</w:t>
            </w:r>
          </w:p>
          <w:p w:rsidR="005B37DB" w:rsidRPr="004768A3" w:rsidRDefault="005B37DB" w:rsidP="005B37DB">
            <w:pPr>
              <w:jc w:val="both"/>
              <w:rPr>
                <w:rFonts w:ascii="Times New Roman" w:hAnsi="Times New Roman" w:cs="Times New Roman"/>
                <w:sz w:val="24"/>
                <w:szCs w:val="24"/>
              </w:rPr>
            </w:pPr>
          </w:p>
        </w:tc>
        <w:tc>
          <w:tcPr>
            <w:tcW w:w="4677" w:type="dxa"/>
          </w:tcPr>
          <w:p w:rsidR="005B37DB" w:rsidRPr="00303184" w:rsidRDefault="005B37DB" w:rsidP="006B5EB6">
            <w:pPr>
              <w:jc w:val="both"/>
              <w:rPr>
                <w:rFonts w:ascii="Times New Roman" w:hAnsi="Times New Roman" w:cs="Times New Roman"/>
                <w:sz w:val="24"/>
                <w:szCs w:val="24"/>
              </w:rPr>
            </w:pPr>
            <w:r>
              <w:rPr>
                <w:rFonts w:ascii="Times New Roman" w:hAnsi="Times New Roman" w:cs="Times New Roman"/>
                <w:sz w:val="24"/>
                <w:szCs w:val="24"/>
              </w:rPr>
              <w:t xml:space="preserve">Зазначене положення Рекомендації </w:t>
            </w:r>
            <w:r w:rsidR="006B5EB6">
              <w:rPr>
                <w:rFonts w:ascii="Times New Roman" w:hAnsi="Times New Roman" w:cs="Times New Roman"/>
                <w:sz w:val="24"/>
                <w:szCs w:val="24"/>
              </w:rPr>
              <w:t>Р</w:t>
            </w:r>
            <w:r>
              <w:rPr>
                <w:rFonts w:ascii="Times New Roman" w:hAnsi="Times New Roman" w:cs="Times New Roman"/>
                <w:sz w:val="24"/>
                <w:szCs w:val="24"/>
              </w:rPr>
              <w:t>ади ОЕСР не потребує законодавчого врегулювання.</w:t>
            </w:r>
          </w:p>
        </w:tc>
      </w:tr>
    </w:tbl>
    <w:p w:rsidR="005E7CEF" w:rsidRDefault="005E7CEF" w:rsidP="00572EDC"/>
    <w:sectPr w:rsidR="005E7CEF" w:rsidSect="00A77A47">
      <w:headerReference w:type="default" r:id="rId8"/>
      <w:pgSz w:w="16838" w:h="11906" w:orient="landscape"/>
      <w:pgMar w:top="851"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25" w:rsidRDefault="00042725" w:rsidP="0054097B">
      <w:pPr>
        <w:spacing w:after="0" w:line="240" w:lineRule="auto"/>
      </w:pPr>
      <w:r>
        <w:separator/>
      </w:r>
    </w:p>
  </w:endnote>
  <w:endnote w:type="continuationSeparator" w:id="0">
    <w:p w:rsidR="00042725" w:rsidRDefault="00042725" w:rsidP="0054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25" w:rsidRDefault="00042725" w:rsidP="0054097B">
      <w:pPr>
        <w:spacing w:after="0" w:line="240" w:lineRule="auto"/>
      </w:pPr>
      <w:r>
        <w:separator/>
      </w:r>
    </w:p>
  </w:footnote>
  <w:footnote w:type="continuationSeparator" w:id="0">
    <w:p w:rsidR="00042725" w:rsidRDefault="00042725" w:rsidP="0054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252605"/>
      <w:docPartObj>
        <w:docPartGallery w:val="Page Numbers (Top of Page)"/>
        <w:docPartUnique/>
      </w:docPartObj>
    </w:sdtPr>
    <w:sdtEndPr/>
    <w:sdtContent>
      <w:p w:rsidR="0054097B" w:rsidRDefault="0054097B">
        <w:pPr>
          <w:pStyle w:val="a5"/>
          <w:jc w:val="center"/>
        </w:pPr>
        <w:r>
          <w:fldChar w:fldCharType="begin"/>
        </w:r>
        <w:r>
          <w:instrText>PAGE   \* MERGEFORMAT</w:instrText>
        </w:r>
        <w:r>
          <w:fldChar w:fldCharType="separate"/>
        </w:r>
        <w:r w:rsidR="00663109">
          <w:rPr>
            <w:noProof/>
          </w:rPr>
          <w:t>7</w:t>
        </w:r>
        <w:r>
          <w:fldChar w:fldCharType="end"/>
        </w:r>
      </w:p>
    </w:sdtContent>
  </w:sdt>
  <w:p w:rsidR="0054097B" w:rsidRDefault="005409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0417"/>
    <w:multiLevelType w:val="hybridMultilevel"/>
    <w:tmpl w:val="0B529E06"/>
    <w:lvl w:ilvl="0" w:tplc="DAB6F06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A9C646C"/>
    <w:multiLevelType w:val="hybridMultilevel"/>
    <w:tmpl w:val="50403CEC"/>
    <w:lvl w:ilvl="0" w:tplc="EE62EBF8">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96364A"/>
    <w:multiLevelType w:val="hybridMultilevel"/>
    <w:tmpl w:val="50403CEC"/>
    <w:lvl w:ilvl="0" w:tplc="EE62EBF8">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7061262"/>
    <w:multiLevelType w:val="hybridMultilevel"/>
    <w:tmpl w:val="647078C8"/>
    <w:lvl w:ilvl="0" w:tplc="DAB6F06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C1"/>
    <w:rsid w:val="000239D5"/>
    <w:rsid w:val="00042725"/>
    <w:rsid w:val="0008506A"/>
    <w:rsid w:val="000C459B"/>
    <w:rsid w:val="00127130"/>
    <w:rsid w:val="00161F4F"/>
    <w:rsid w:val="001C74F5"/>
    <w:rsid w:val="001D3F84"/>
    <w:rsid w:val="001E7D0F"/>
    <w:rsid w:val="002D45C1"/>
    <w:rsid w:val="00303184"/>
    <w:rsid w:val="0030470A"/>
    <w:rsid w:val="0037497D"/>
    <w:rsid w:val="00390356"/>
    <w:rsid w:val="003C6050"/>
    <w:rsid w:val="003F4006"/>
    <w:rsid w:val="00412B15"/>
    <w:rsid w:val="004E10BA"/>
    <w:rsid w:val="004E7A09"/>
    <w:rsid w:val="0054097B"/>
    <w:rsid w:val="00572EDC"/>
    <w:rsid w:val="005B37DB"/>
    <w:rsid w:val="005D7D64"/>
    <w:rsid w:val="005E7CEF"/>
    <w:rsid w:val="00642344"/>
    <w:rsid w:val="006423D3"/>
    <w:rsid w:val="00663109"/>
    <w:rsid w:val="006927A7"/>
    <w:rsid w:val="006A03AF"/>
    <w:rsid w:val="006A3D8D"/>
    <w:rsid w:val="006B5EB6"/>
    <w:rsid w:val="006F46F7"/>
    <w:rsid w:val="0070497F"/>
    <w:rsid w:val="00721868"/>
    <w:rsid w:val="00754A14"/>
    <w:rsid w:val="008B3481"/>
    <w:rsid w:val="008F3B79"/>
    <w:rsid w:val="009164CE"/>
    <w:rsid w:val="00942AE2"/>
    <w:rsid w:val="00997408"/>
    <w:rsid w:val="009C4EF9"/>
    <w:rsid w:val="009D3017"/>
    <w:rsid w:val="009E07A1"/>
    <w:rsid w:val="00A66286"/>
    <w:rsid w:val="00A77A47"/>
    <w:rsid w:val="00A84A94"/>
    <w:rsid w:val="00AB7406"/>
    <w:rsid w:val="00B67562"/>
    <w:rsid w:val="00B77F95"/>
    <w:rsid w:val="00BF17FB"/>
    <w:rsid w:val="00C33B62"/>
    <w:rsid w:val="00CB6757"/>
    <w:rsid w:val="00D93DCA"/>
    <w:rsid w:val="00DA7217"/>
    <w:rsid w:val="00DC2D99"/>
    <w:rsid w:val="00DD687A"/>
    <w:rsid w:val="00DF2809"/>
    <w:rsid w:val="00E96D53"/>
    <w:rsid w:val="00EC12EE"/>
    <w:rsid w:val="00ED50D4"/>
    <w:rsid w:val="00ED7526"/>
    <w:rsid w:val="00EE1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526DA-F42B-4950-83F7-CA1EF7D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5C1"/>
    <w:pPr>
      <w:ind w:left="720"/>
      <w:contextualSpacing/>
    </w:pPr>
  </w:style>
  <w:style w:type="table" w:styleId="a4">
    <w:name w:val="Table Grid"/>
    <w:basedOn w:val="a1"/>
    <w:uiPriority w:val="39"/>
    <w:rsid w:val="0057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097B"/>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4097B"/>
  </w:style>
  <w:style w:type="paragraph" w:styleId="a7">
    <w:name w:val="footer"/>
    <w:basedOn w:val="a"/>
    <w:link w:val="a8"/>
    <w:uiPriority w:val="99"/>
    <w:unhideWhenUsed/>
    <w:rsid w:val="0054097B"/>
    <w:pPr>
      <w:tabs>
        <w:tab w:val="center" w:pos="4819"/>
        <w:tab w:val="right" w:pos="9639"/>
      </w:tabs>
      <w:spacing w:after="0" w:line="240" w:lineRule="auto"/>
    </w:pPr>
  </w:style>
  <w:style w:type="character" w:customStyle="1" w:styleId="a8">
    <w:name w:val="Нижній колонтитул Знак"/>
    <w:basedOn w:val="a0"/>
    <w:link w:val="a7"/>
    <w:uiPriority w:val="99"/>
    <w:rsid w:val="0054097B"/>
  </w:style>
  <w:style w:type="paragraph" w:styleId="a9">
    <w:name w:val="Normal (Web)"/>
    <w:basedOn w:val="a"/>
    <w:uiPriority w:val="99"/>
    <w:unhideWhenUsed/>
    <w:rsid w:val="001E7D0F"/>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a">
    <w:name w:val="Balloon Text"/>
    <w:basedOn w:val="a"/>
    <w:link w:val="ab"/>
    <w:uiPriority w:val="99"/>
    <w:semiHidden/>
    <w:unhideWhenUsed/>
    <w:rsid w:val="00A6628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A66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136F-6A0A-4C7D-8BDD-A39876CB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6987</Words>
  <Characters>3984</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Кравчук Максим Петрович</dc:creator>
  <cp:keywords/>
  <dc:description/>
  <cp:lastModifiedBy>Гривачевський Сергій Іванович</cp:lastModifiedBy>
  <cp:revision>13</cp:revision>
  <cp:lastPrinted>2023-05-31T08:05:00Z</cp:lastPrinted>
  <dcterms:created xsi:type="dcterms:W3CDTF">2023-05-24T11:37:00Z</dcterms:created>
  <dcterms:modified xsi:type="dcterms:W3CDTF">2023-05-31T08:35:00Z</dcterms:modified>
</cp:coreProperties>
</file>