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BD" w:rsidRDefault="00EA78BD" w:rsidP="00EA78BD">
      <w:pPr>
        <w:tabs>
          <w:tab w:val="left" w:pos="851"/>
        </w:tabs>
        <w:spacing w:after="0" w:line="240" w:lineRule="auto"/>
        <w:ind w:firstLine="567"/>
        <w:jc w:val="both"/>
      </w:pPr>
      <w:bookmarkStart w:id="0" w:name="_GoBack"/>
      <w:bookmarkEnd w:id="0"/>
      <w:r>
        <w:t xml:space="preserve">Щодо </w:t>
      </w:r>
      <w:r w:rsidRPr="00C1159E">
        <w:t>заход</w:t>
      </w:r>
      <w:r>
        <w:t>ів</w:t>
      </w:r>
      <w:r w:rsidRPr="00C1159E">
        <w:t xml:space="preserve"> 2.5.10.2.1, 2.5.10.2.2, 2.5.10.2.3</w:t>
      </w:r>
      <w:r>
        <w:t xml:space="preserve"> </w:t>
      </w:r>
      <w:r w:rsidRPr="00C1159E">
        <w:t>Державн</w:t>
      </w:r>
      <w:r>
        <w:t>ої</w:t>
      </w:r>
      <w:r w:rsidRPr="00C1159E">
        <w:t xml:space="preserve"> антикорупційн</w:t>
      </w:r>
      <w:r>
        <w:t>ої</w:t>
      </w:r>
      <w:r w:rsidRPr="00C1159E">
        <w:t xml:space="preserve"> програм</w:t>
      </w:r>
      <w:r>
        <w:t>и</w:t>
      </w:r>
      <w:r w:rsidRPr="00C1159E">
        <w:t xml:space="preserve"> на 2023-2025 р.</w:t>
      </w:r>
      <w:r>
        <w:t xml:space="preserve"> повідомляємо.</w:t>
      </w:r>
    </w:p>
    <w:p w:rsidR="00EA78BD" w:rsidRPr="00C1159E" w:rsidRDefault="00EA78BD" w:rsidP="00EA78BD">
      <w:pPr>
        <w:spacing w:after="0" w:line="240" w:lineRule="auto"/>
        <w:ind w:firstLine="567"/>
        <w:jc w:val="both"/>
        <w:rPr>
          <w:szCs w:val="28"/>
        </w:rPr>
      </w:pPr>
      <w:r w:rsidRPr="00C1159E">
        <w:rPr>
          <w:szCs w:val="28"/>
        </w:rPr>
        <w:t>Відповідно до ч</w:t>
      </w:r>
      <w:r>
        <w:rPr>
          <w:szCs w:val="28"/>
        </w:rPr>
        <w:t>.</w:t>
      </w:r>
      <w:r w:rsidRPr="00C1159E">
        <w:rPr>
          <w:szCs w:val="28"/>
        </w:rPr>
        <w:t xml:space="preserve"> </w:t>
      </w:r>
      <w:r>
        <w:rPr>
          <w:szCs w:val="28"/>
        </w:rPr>
        <w:t>2</w:t>
      </w:r>
      <w:r w:rsidRPr="00C1159E">
        <w:rPr>
          <w:szCs w:val="28"/>
        </w:rPr>
        <w:t xml:space="preserve"> ст</w:t>
      </w:r>
      <w:r>
        <w:rPr>
          <w:szCs w:val="28"/>
        </w:rPr>
        <w:t>.</w:t>
      </w:r>
      <w:r w:rsidRPr="00C1159E">
        <w:rPr>
          <w:szCs w:val="28"/>
        </w:rPr>
        <w:t xml:space="preserve">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w:t>
      </w:r>
    </w:p>
    <w:p w:rsidR="00EA78BD" w:rsidRPr="00C1159E" w:rsidRDefault="00EA78BD" w:rsidP="00EA78BD">
      <w:pPr>
        <w:spacing w:after="0" w:line="240" w:lineRule="auto"/>
        <w:ind w:firstLine="567"/>
        <w:jc w:val="both"/>
        <w:rPr>
          <w:szCs w:val="28"/>
        </w:rPr>
      </w:pPr>
      <w:r w:rsidRPr="00C1159E">
        <w:rPr>
          <w:szCs w:val="28"/>
        </w:rPr>
        <w:t>Згідно з п</w:t>
      </w:r>
      <w:r>
        <w:rPr>
          <w:szCs w:val="28"/>
        </w:rPr>
        <w:t>.</w:t>
      </w:r>
      <w:r w:rsidRPr="00C1159E">
        <w:rPr>
          <w:szCs w:val="28"/>
        </w:rPr>
        <w:t xml:space="preserve"> 12 ч</w:t>
      </w:r>
      <w:r>
        <w:rPr>
          <w:szCs w:val="28"/>
        </w:rPr>
        <w:t>.</w:t>
      </w:r>
      <w:r w:rsidRPr="00C1159E">
        <w:rPr>
          <w:szCs w:val="28"/>
        </w:rPr>
        <w:t xml:space="preserve"> </w:t>
      </w:r>
      <w:r>
        <w:rPr>
          <w:szCs w:val="28"/>
        </w:rPr>
        <w:t>1</w:t>
      </w:r>
      <w:r w:rsidRPr="00C1159E">
        <w:rPr>
          <w:szCs w:val="28"/>
        </w:rPr>
        <w:t xml:space="preserve"> с</w:t>
      </w:r>
      <w:r>
        <w:rPr>
          <w:szCs w:val="28"/>
        </w:rPr>
        <w:t>.</w:t>
      </w:r>
      <w:r w:rsidRPr="00C1159E">
        <w:rPr>
          <w:szCs w:val="28"/>
        </w:rPr>
        <w:t xml:space="preserve"> 92 Конституції України виключно законами України визначаються організація і діяльність органів виконавчої влади. Абзацом першим частини другої статті 3 Закону України «Про центральні органи виконавчої влади» передбачено, що організація, повноваження і порядок діяльності міністерств, інших центральних органів виконавчої влади визначаються Конституцією України, цим та іншими законами України. </w:t>
      </w:r>
    </w:p>
    <w:p w:rsidR="00EA78BD" w:rsidRPr="00EA78BD" w:rsidRDefault="00EA78BD" w:rsidP="00EA78BD">
      <w:pPr>
        <w:spacing w:after="0" w:line="240" w:lineRule="auto"/>
        <w:ind w:firstLine="567"/>
        <w:jc w:val="both"/>
        <w:rPr>
          <w:szCs w:val="28"/>
          <w:lang w:val="ru-RU"/>
        </w:rPr>
      </w:pPr>
      <w:r w:rsidRPr="00C1159E">
        <w:rPr>
          <w:szCs w:val="28"/>
        </w:rPr>
        <w:t xml:space="preserve">При цьому, зауважуємо, що законом, у тому числі Законом України </w:t>
      </w:r>
      <w:r w:rsidRPr="00C1159E">
        <w:rPr>
          <w:szCs w:val="28"/>
        </w:rPr>
        <w:br/>
        <w:t>«Про автомобільні дороги»</w:t>
      </w:r>
      <w:r>
        <w:rPr>
          <w:szCs w:val="28"/>
        </w:rPr>
        <w:t xml:space="preserve"> (далі – Закон)</w:t>
      </w:r>
      <w:r w:rsidRPr="00C1159E">
        <w:rPr>
          <w:szCs w:val="28"/>
        </w:rPr>
        <w:t xml:space="preserve">, не передбачено повноважень Мінінфраструктури щодо затвердження </w:t>
      </w:r>
      <w:r>
        <w:rPr>
          <w:szCs w:val="28"/>
        </w:rPr>
        <w:t xml:space="preserve">нормативно-правових актів, зазначених у завданні </w:t>
      </w:r>
      <w:r w:rsidRPr="00851E5B">
        <w:rPr>
          <w:szCs w:val="28"/>
        </w:rPr>
        <w:t>2.5.10.2.1</w:t>
      </w:r>
      <w:r>
        <w:rPr>
          <w:szCs w:val="28"/>
        </w:rPr>
        <w:t xml:space="preserve">. </w:t>
      </w:r>
    </w:p>
    <w:p w:rsidR="00EA78BD" w:rsidRPr="00C1159E" w:rsidRDefault="00EA78BD" w:rsidP="00EA78BD">
      <w:pPr>
        <w:spacing w:after="0" w:line="240" w:lineRule="auto"/>
        <w:ind w:firstLine="567"/>
        <w:jc w:val="both"/>
        <w:rPr>
          <w:szCs w:val="28"/>
        </w:rPr>
      </w:pPr>
      <w:r w:rsidRPr="00C1159E">
        <w:rPr>
          <w:szCs w:val="28"/>
        </w:rPr>
        <w:t>Звертаємо увагу, що відповідно до с</w:t>
      </w:r>
      <w:r>
        <w:rPr>
          <w:szCs w:val="28"/>
        </w:rPr>
        <w:t>.</w:t>
      </w:r>
      <w:r w:rsidRPr="00C1159E">
        <w:rPr>
          <w:szCs w:val="28"/>
        </w:rPr>
        <w:t xml:space="preserve"> 50 Закону управління безпекою </w:t>
      </w:r>
      <w:r>
        <w:rPr>
          <w:szCs w:val="28"/>
        </w:rPr>
        <w:t>а/д</w:t>
      </w:r>
      <w:r w:rsidRPr="00C1159E">
        <w:rPr>
          <w:szCs w:val="28"/>
        </w:rPr>
        <w:t xml:space="preserve"> здійснюється шляхом організації та проведення аудиту безпеки </w:t>
      </w:r>
      <w:r>
        <w:rPr>
          <w:szCs w:val="28"/>
        </w:rPr>
        <w:t>а/д</w:t>
      </w:r>
      <w:r w:rsidRPr="00C1159E">
        <w:rPr>
          <w:szCs w:val="28"/>
        </w:rPr>
        <w:t xml:space="preserve">, перевірок безпеки </w:t>
      </w:r>
      <w:r>
        <w:rPr>
          <w:szCs w:val="28"/>
        </w:rPr>
        <w:t>а/д</w:t>
      </w:r>
      <w:r w:rsidRPr="00C1159E">
        <w:rPr>
          <w:szCs w:val="28"/>
        </w:rPr>
        <w:t xml:space="preserve">, виявлення аварійно небезпечних місць (ділянок) та місць концентрації дорожньо-транспортних пригод та ліквідації їх причин. </w:t>
      </w:r>
    </w:p>
    <w:p w:rsidR="00EA78BD" w:rsidRPr="00C1159E" w:rsidRDefault="00EA78BD" w:rsidP="00EA78BD">
      <w:pPr>
        <w:spacing w:after="0" w:line="240" w:lineRule="auto"/>
        <w:ind w:firstLine="567"/>
        <w:jc w:val="both"/>
        <w:rPr>
          <w:szCs w:val="28"/>
        </w:rPr>
      </w:pPr>
      <w:r w:rsidRPr="00C1159E">
        <w:rPr>
          <w:szCs w:val="28"/>
        </w:rPr>
        <w:t xml:space="preserve">Порядок проведення перевірки безпеки </w:t>
      </w:r>
      <w:r>
        <w:rPr>
          <w:szCs w:val="28"/>
        </w:rPr>
        <w:t>а/д</w:t>
      </w:r>
      <w:r w:rsidRPr="00C1159E">
        <w:rPr>
          <w:szCs w:val="28"/>
        </w:rPr>
        <w:t xml:space="preserve">, визначений центральним органом виконавчої влади, що забезпечує формування та реалізує державну політику у сфері дорожнього господарства (наказ Міністерства інфраструктури України від 18 травня 2021 року № 266, зареєстрований в Міністерстві юстиції України </w:t>
      </w:r>
      <w:r>
        <w:rPr>
          <w:szCs w:val="28"/>
        </w:rPr>
        <w:t>2 червня 2021 року № 737/36359)</w:t>
      </w:r>
      <w:r w:rsidRPr="00C1159E">
        <w:rPr>
          <w:szCs w:val="28"/>
        </w:rPr>
        <w:t xml:space="preserve">. </w:t>
      </w:r>
    </w:p>
    <w:p w:rsidR="00EA78BD" w:rsidRPr="00C1159E" w:rsidRDefault="00EA78BD" w:rsidP="00EA78BD">
      <w:pPr>
        <w:spacing w:after="0" w:line="240" w:lineRule="auto"/>
        <w:ind w:firstLine="567"/>
        <w:jc w:val="both"/>
        <w:rPr>
          <w:szCs w:val="28"/>
        </w:rPr>
      </w:pPr>
      <w:r w:rsidRPr="00C1159E">
        <w:rPr>
          <w:szCs w:val="28"/>
        </w:rPr>
        <w:t xml:space="preserve">При цьому контроль якості робіт на сьогодні є однією з істотних умов договору (контракту) про утримання </w:t>
      </w:r>
      <w:r>
        <w:rPr>
          <w:szCs w:val="28"/>
        </w:rPr>
        <w:t>а/д</w:t>
      </w:r>
      <w:r w:rsidRPr="00C1159E">
        <w:rPr>
          <w:szCs w:val="28"/>
        </w:rPr>
        <w:t xml:space="preserve"> загального користування, який, зокрема, передбачає порядок здійснення замовником контролю якості ресурсів та виконаних робіт (частина третя статті 6 зазначеного закону). </w:t>
      </w:r>
    </w:p>
    <w:p w:rsidR="00EA78BD" w:rsidRPr="00C1159E" w:rsidRDefault="00EA78BD" w:rsidP="00EA78BD">
      <w:pPr>
        <w:spacing w:after="0" w:line="240" w:lineRule="auto"/>
        <w:ind w:firstLine="567"/>
        <w:jc w:val="both"/>
        <w:rPr>
          <w:szCs w:val="28"/>
        </w:rPr>
      </w:pPr>
      <w:r w:rsidRPr="00C1159E">
        <w:rPr>
          <w:szCs w:val="28"/>
        </w:rPr>
        <w:t xml:space="preserve">Власник автомобільної дороги згідно зі статтею 322 Цивільного кодексу України зобов'язаний утримувати майно, що йому належить, якщо інше не встановлено договором або законом. </w:t>
      </w:r>
    </w:p>
    <w:p w:rsidR="00EA78BD" w:rsidRPr="00C1159E" w:rsidRDefault="00EA78BD" w:rsidP="00EA78BD">
      <w:pPr>
        <w:spacing w:after="0" w:line="240" w:lineRule="auto"/>
        <w:ind w:firstLine="567"/>
        <w:jc w:val="both"/>
        <w:rPr>
          <w:szCs w:val="28"/>
        </w:rPr>
      </w:pPr>
      <w:r w:rsidRPr="00C1159E">
        <w:rPr>
          <w:szCs w:val="28"/>
        </w:rPr>
        <w:t xml:space="preserve">Основними заходами щодо обізнаності власника з реальним технічним станом </w:t>
      </w:r>
      <w:r>
        <w:rPr>
          <w:szCs w:val="28"/>
        </w:rPr>
        <w:t>а/д</w:t>
      </w:r>
      <w:r w:rsidRPr="00C1159E">
        <w:rPr>
          <w:szCs w:val="28"/>
        </w:rPr>
        <w:t xml:space="preserve"> на предмет відповідності нормам є огляд та обстеження та паспортизація об’єктів, що передбачено статтею 39</w:t>
      </w:r>
      <w:r w:rsidRPr="00C1159E">
        <w:rPr>
          <w:szCs w:val="28"/>
          <w:vertAlign w:val="superscript"/>
        </w:rPr>
        <w:t>2</w:t>
      </w:r>
      <w:r w:rsidRPr="00C1159E">
        <w:rPr>
          <w:szCs w:val="28"/>
        </w:rPr>
        <w:t xml:space="preserve"> Закону України «Про регулювання містобудівної діяльності». </w:t>
      </w:r>
    </w:p>
    <w:p w:rsidR="00EA78BD" w:rsidRPr="00C1159E" w:rsidRDefault="00EA78BD" w:rsidP="00EA78BD">
      <w:pPr>
        <w:spacing w:after="0" w:line="240" w:lineRule="auto"/>
        <w:ind w:firstLine="567"/>
        <w:jc w:val="both"/>
        <w:rPr>
          <w:szCs w:val="28"/>
        </w:rPr>
      </w:pPr>
      <w:r w:rsidRPr="00C1159E">
        <w:rPr>
          <w:szCs w:val="28"/>
        </w:rPr>
        <w:t>Так, згідно з частиною другою статті 39</w:t>
      </w:r>
      <w:r w:rsidRPr="00C1159E">
        <w:rPr>
          <w:szCs w:val="28"/>
          <w:vertAlign w:val="superscript"/>
        </w:rPr>
        <w:t>2</w:t>
      </w:r>
      <w:r w:rsidRPr="00C1159E">
        <w:rPr>
          <w:szCs w:val="28"/>
        </w:rPr>
        <w:t xml:space="preserve"> Закону України </w:t>
      </w:r>
      <w:r>
        <w:rPr>
          <w:szCs w:val="28"/>
        </w:rPr>
        <w:br/>
      </w:r>
      <w:r w:rsidRPr="00C1159E">
        <w:rPr>
          <w:szCs w:val="28"/>
        </w:rPr>
        <w:t xml:space="preserve">«Про регулювання містобудівної діяльності» обстеження об’єкта здійснюється з метою визначення його фактичного стану та оцінки його відповідності основним вимогам до будівель і споруд, визначеним законодавством, та вжиття заходів для забезпечення надійності та безпеки під час його експлуатації. </w:t>
      </w:r>
    </w:p>
    <w:p w:rsidR="00EA78BD" w:rsidRPr="00C1159E" w:rsidRDefault="00EA78BD" w:rsidP="00EA78BD">
      <w:pPr>
        <w:spacing w:after="0" w:line="240" w:lineRule="auto"/>
        <w:ind w:firstLine="567"/>
        <w:jc w:val="both"/>
        <w:rPr>
          <w:szCs w:val="28"/>
        </w:rPr>
      </w:pPr>
      <w:r w:rsidRPr="00C1159E">
        <w:rPr>
          <w:szCs w:val="28"/>
        </w:rPr>
        <w:t>Відповідно до частини четвертої статті 39</w:t>
      </w:r>
      <w:r w:rsidRPr="00C1159E">
        <w:rPr>
          <w:szCs w:val="28"/>
          <w:vertAlign w:val="superscript"/>
        </w:rPr>
        <w:t>2</w:t>
      </w:r>
      <w:r w:rsidRPr="00C1159E">
        <w:rPr>
          <w:szCs w:val="28"/>
        </w:rPr>
        <w:t xml:space="preserve"> Закону України </w:t>
      </w:r>
      <w:r w:rsidRPr="00C1159E">
        <w:rPr>
          <w:szCs w:val="28"/>
        </w:rPr>
        <w:br/>
        <w:t xml:space="preserve">«Про регулювання містобудівної діяльності» у період між обстеженнями власники </w:t>
      </w:r>
      <w:r w:rsidRPr="00C1159E">
        <w:rPr>
          <w:szCs w:val="28"/>
        </w:rPr>
        <w:lastRenderedPageBreak/>
        <w:t xml:space="preserve">або управителі своїми силами чи із залученням інших суб’єктів господарювання забезпечують огляд об’єктів та вживають заходів щодо забезпечення надійності та безпеки під час їх експлуатації. </w:t>
      </w:r>
    </w:p>
    <w:p w:rsidR="00EA78BD" w:rsidRPr="00C1159E" w:rsidRDefault="00EA78BD" w:rsidP="00EA78BD">
      <w:pPr>
        <w:spacing w:after="0" w:line="240" w:lineRule="auto"/>
        <w:ind w:firstLine="567"/>
        <w:jc w:val="both"/>
        <w:rPr>
          <w:szCs w:val="28"/>
        </w:rPr>
      </w:pPr>
      <w:r w:rsidRPr="00C1159E">
        <w:rPr>
          <w:szCs w:val="28"/>
        </w:rPr>
        <w:t>Згідно з пунктом 3 Порядку проведення обстеження прийнятих в експлуатацію об’єктів будівництва, затвердженого постановою Кабінету Міністрів України від 12 квітня 2017 року № 257, (далі – Порядок) обов’язковому обстеженню підлягають об’єкти, визначені статтею 39</w:t>
      </w:r>
      <w:r w:rsidRPr="00C1159E">
        <w:rPr>
          <w:szCs w:val="28"/>
          <w:vertAlign w:val="superscript"/>
        </w:rPr>
        <w:t>2</w:t>
      </w:r>
      <w:r w:rsidRPr="00C1159E">
        <w:rPr>
          <w:szCs w:val="28"/>
        </w:rPr>
        <w:t xml:space="preserve"> Закону України «Про регулювання містобудівної діяльності», зокрема, об’єкти інженерної, транспортної інфраструктури, що відповідно до проектної документації, затвердженої в установленому законодавством порядку, за класом наслідків (відповідальності) належать до об’єктів з середніми (СС2) та значними (СС3) наслідками. </w:t>
      </w:r>
    </w:p>
    <w:p w:rsidR="00EA78BD" w:rsidRPr="00C1159E" w:rsidRDefault="00EA78BD" w:rsidP="00EA78BD">
      <w:pPr>
        <w:spacing w:after="0" w:line="240" w:lineRule="auto"/>
        <w:ind w:firstLine="567"/>
        <w:jc w:val="both"/>
        <w:rPr>
          <w:szCs w:val="28"/>
        </w:rPr>
      </w:pPr>
      <w:r w:rsidRPr="00C1159E">
        <w:rPr>
          <w:szCs w:val="28"/>
        </w:rPr>
        <w:t>Згідно з п</w:t>
      </w:r>
      <w:r>
        <w:rPr>
          <w:szCs w:val="28"/>
        </w:rPr>
        <w:t>.</w:t>
      </w:r>
      <w:r w:rsidRPr="00C1159E">
        <w:rPr>
          <w:szCs w:val="28"/>
        </w:rPr>
        <w:t xml:space="preserve"> 6 Порядку обстеження об’єктів проводиться, зокрема, в разі необхідності прийняття рішення про подальшу експлуатацію (у тому числі відновлення шляхом капітального ремонту, реконструкції, реставрації) або демонтаж (ліквідацію) у зв’язку з пошкодженням об’єкта внаслідок позапроектних впливів (пожежі, стихійного лиха, аварії, воєнних дій або терористичних актів), у тому числі на підставі актів, складених уповноваженими органами. </w:t>
      </w:r>
    </w:p>
    <w:p w:rsidR="00EA78BD" w:rsidRPr="00C1159E" w:rsidRDefault="00EA78BD" w:rsidP="00EA78BD">
      <w:pPr>
        <w:spacing w:after="0" w:line="240" w:lineRule="auto"/>
        <w:ind w:firstLine="567"/>
        <w:jc w:val="both"/>
        <w:rPr>
          <w:szCs w:val="28"/>
        </w:rPr>
      </w:pPr>
      <w:r w:rsidRPr="00C1159E">
        <w:rPr>
          <w:szCs w:val="28"/>
        </w:rPr>
        <w:t>При цьому, згідно з абз</w:t>
      </w:r>
      <w:r>
        <w:rPr>
          <w:szCs w:val="28"/>
        </w:rPr>
        <w:t>. 1</w:t>
      </w:r>
      <w:r w:rsidRPr="00C1159E">
        <w:rPr>
          <w:szCs w:val="28"/>
        </w:rPr>
        <w:t xml:space="preserve"> п</w:t>
      </w:r>
      <w:r>
        <w:rPr>
          <w:szCs w:val="28"/>
        </w:rPr>
        <w:t>.</w:t>
      </w:r>
      <w:r w:rsidRPr="00C1159E">
        <w:rPr>
          <w:szCs w:val="28"/>
        </w:rPr>
        <w:t xml:space="preserve"> 2 Порядку обстеження пошкоджених об’єктів може проводитися за рішенням уповноважених органів – виконавчих органів відповідних сільських, селищних, міських рад або у випадках, передбачених законодавством, військовими адміністраціями.</w:t>
      </w:r>
    </w:p>
    <w:p w:rsidR="00EA78BD" w:rsidRPr="00C1159E" w:rsidRDefault="00EA78BD" w:rsidP="00EA78BD">
      <w:pPr>
        <w:spacing w:after="0" w:line="240" w:lineRule="auto"/>
        <w:ind w:firstLine="567"/>
        <w:jc w:val="both"/>
        <w:rPr>
          <w:szCs w:val="28"/>
        </w:rPr>
      </w:pPr>
      <w:r w:rsidRPr="00C1159E">
        <w:rPr>
          <w:szCs w:val="28"/>
        </w:rPr>
        <w:t>Відповідно до абз</w:t>
      </w:r>
      <w:r>
        <w:rPr>
          <w:szCs w:val="28"/>
        </w:rPr>
        <w:t>.</w:t>
      </w:r>
      <w:r w:rsidRPr="00C1159E">
        <w:rPr>
          <w:szCs w:val="28"/>
        </w:rPr>
        <w:t xml:space="preserve"> </w:t>
      </w:r>
      <w:r>
        <w:rPr>
          <w:szCs w:val="28"/>
        </w:rPr>
        <w:t>4</w:t>
      </w:r>
      <w:r w:rsidRPr="00C1159E">
        <w:rPr>
          <w:szCs w:val="28"/>
        </w:rPr>
        <w:t xml:space="preserve"> п</w:t>
      </w:r>
      <w:r>
        <w:rPr>
          <w:szCs w:val="28"/>
        </w:rPr>
        <w:t>.</w:t>
      </w:r>
      <w:r w:rsidRPr="00C1159E">
        <w:rPr>
          <w:szCs w:val="28"/>
        </w:rPr>
        <w:t xml:space="preserve"> 2 Порядку проведення обстеження об’єкта або пошкодженого об’єкта забезпечується відповідним власником або управителем, уповноваженим органом шляхом залучення фахівців, що мають відповідну кваліфікацію. </w:t>
      </w:r>
    </w:p>
    <w:p w:rsidR="00EA78BD" w:rsidRDefault="00EA78BD" w:rsidP="00EA78BD">
      <w:pPr>
        <w:spacing w:after="0" w:line="240" w:lineRule="auto"/>
        <w:ind w:firstLine="567"/>
        <w:jc w:val="both"/>
        <w:rPr>
          <w:szCs w:val="28"/>
        </w:rPr>
      </w:pPr>
      <w:r w:rsidRPr="00C1159E">
        <w:rPr>
          <w:szCs w:val="28"/>
        </w:rPr>
        <w:t>При цьому, відповідно до ч</w:t>
      </w:r>
      <w:r>
        <w:rPr>
          <w:szCs w:val="28"/>
        </w:rPr>
        <w:t>.</w:t>
      </w:r>
      <w:r w:rsidRPr="00C1159E">
        <w:rPr>
          <w:szCs w:val="28"/>
        </w:rPr>
        <w:t xml:space="preserve"> </w:t>
      </w:r>
      <w:r>
        <w:rPr>
          <w:szCs w:val="28"/>
        </w:rPr>
        <w:t>4 ст.</w:t>
      </w:r>
      <w:r w:rsidRPr="00C1159E">
        <w:rPr>
          <w:szCs w:val="28"/>
        </w:rPr>
        <w:t xml:space="preserve"> 39</w:t>
      </w:r>
      <w:r w:rsidRPr="00C1159E">
        <w:rPr>
          <w:szCs w:val="28"/>
          <w:vertAlign w:val="superscript"/>
        </w:rPr>
        <w:t>2</w:t>
      </w:r>
      <w:r w:rsidRPr="00C1159E">
        <w:rPr>
          <w:szCs w:val="28"/>
        </w:rPr>
        <w:t xml:space="preserve"> Закону України «Про регулювання містобудівної діяльності» періодичний огляд об’єктів може бути забезпечено власниками або управителями своїми силами чи із залученням інших суб’єктів господарювання. </w:t>
      </w:r>
    </w:p>
    <w:p w:rsidR="00EA78BD" w:rsidRPr="00C1159E" w:rsidRDefault="00EA78BD" w:rsidP="00EA78BD">
      <w:pPr>
        <w:spacing w:after="0" w:line="240" w:lineRule="auto"/>
        <w:ind w:firstLine="567"/>
        <w:jc w:val="both"/>
        <w:rPr>
          <w:szCs w:val="28"/>
        </w:rPr>
      </w:pPr>
      <w:r w:rsidRPr="00C1159E">
        <w:rPr>
          <w:szCs w:val="28"/>
        </w:rPr>
        <w:t xml:space="preserve">Разом із цим, звертаємо увагу, що на цей час є чинною Методика визначення обсягу фінансування будівництва, реконструкції, ремонту та утримання автомобільних доріг, затверджена спільним наказом Мінінфраструктури та Мінфіну від 21 вересня 2012 року № 573/1019 та зареєстрована в Мін’юсті 16 жовтня 2012 року за № 1734/22046. </w:t>
      </w:r>
    </w:p>
    <w:p w:rsidR="00EA78BD" w:rsidRPr="00C1159E" w:rsidRDefault="00EA78BD" w:rsidP="00EA78BD">
      <w:pPr>
        <w:spacing w:after="0" w:line="240" w:lineRule="auto"/>
        <w:ind w:firstLine="567"/>
        <w:jc w:val="both"/>
        <w:rPr>
          <w:szCs w:val="28"/>
        </w:rPr>
      </w:pPr>
      <w:r w:rsidRPr="00C1159E">
        <w:rPr>
          <w:szCs w:val="28"/>
        </w:rPr>
        <w:t>Частиною другою статті 179 Господарського кодексу України передбачено, що Кабінет Міністрів України, уповноважені ним або законом органи виконавчої влади, державні органи та органи державної влади можуть рекомендувати суб'єктам господарювання орієнтовні умови господарських договорів (примірні договори), а у визначених законом випадках – затверджувати типові договори.</w:t>
      </w:r>
    </w:p>
    <w:p w:rsidR="00EA78BD" w:rsidRPr="00C1159E" w:rsidRDefault="00EA78BD" w:rsidP="00EA78BD">
      <w:pPr>
        <w:spacing w:after="0" w:line="240" w:lineRule="auto"/>
        <w:ind w:firstLine="567"/>
        <w:jc w:val="both"/>
        <w:rPr>
          <w:szCs w:val="28"/>
        </w:rPr>
      </w:pPr>
      <w:r w:rsidRPr="00C1159E">
        <w:rPr>
          <w:szCs w:val="28"/>
        </w:rPr>
        <w:t>Також</w:t>
      </w:r>
      <w:r>
        <w:rPr>
          <w:szCs w:val="28"/>
        </w:rPr>
        <w:t>,</w:t>
      </w:r>
      <w:r w:rsidRPr="00C1159E">
        <w:rPr>
          <w:szCs w:val="28"/>
        </w:rPr>
        <w:t xml:space="preserve"> </w:t>
      </w:r>
      <w:r w:rsidRPr="00CC550F">
        <w:rPr>
          <w:szCs w:val="28"/>
        </w:rPr>
        <w:t>ст</w:t>
      </w:r>
      <w:r>
        <w:rPr>
          <w:szCs w:val="28"/>
        </w:rPr>
        <w:t>.</w:t>
      </w:r>
      <w:r w:rsidRPr="00CC550F">
        <w:rPr>
          <w:szCs w:val="28"/>
        </w:rPr>
        <w:t xml:space="preserve"> 11 Закону України «Про архітектурну діяльність» передбачено авторський та технічний нагляд під час будівництва об'єкта архітектури. Відповідні норми поширюються і на </w:t>
      </w:r>
      <w:r>
        <w:rPr>
          <w:szCs w:val="28"/>
        </w:rPr>
        <w:t>а/д загал. корис</w:t>
      </w:r>
      <w:r w:rsidRPr="00CC550F">
        <w:rPr>
          <w:szCs w:val="28"/>
        </w:rPr>
        <w:t>.</w:t>
      </w:r>
    </w:p>
    <w:p w:rsidR="00EA78BD" w:rsidRPr="00C1159E" w:rsidRDefault="00EA78BD" w:rsidP="00EA78BD">
      <w:pPr>
        <w:tabs>
          <w:tab w:val="left" w:pos="426"/>
          <w:tab w:val="left" w:pos="993"/>
        </w:tabs>
        <w:spacing w:after="0" w:line="259" w:lineRule="auto"/>
        <w:jc w:val="both"/>
        <w:rPr>
          <w:szCs w:val="28"/>
        </w:rPr>
      </w:pPr>
      <w:r w:rsidRPr="00C1159E">
        <w:rPr>
          <w:szCs w:val="28"/>
        </w:rPr>
        <w:lastRenderedPageBreak/>
        <w:tab/>
        <w:t xml:space="preserve">Виходячи з положень постанови Кабінету Міністрів України від 11 липня </w:t>
      </w:r>
      <w:r>
        <w:rPr>
          <w:szCs w:val="28"/>
        </w:rPr>
        <w:br/>
      </w:r>
      <w:r w:rsidRPr="00C1159E">
        <w:rPr>
          <w:szCs w:val="28"/>
        </w:rPr>
        <w:t>2007 р. № 903 «Про авторський та технічний нагляд під час будівництва об'єкта архітектури», авторський нагляд передбачає контроль  за  відповідністю  будівельно-монтажних робіт проекту;</w:t>
      </w:r>
    </w:p>
    <w:p w:rsidR="00EA78BD" w:rsidRPr="00C1159E" w:rsidRDefault="00EA78BD" w:rsidP="00EA78BD">
      <w:pPr>
        <w:tabs>
          <w:tab w:val="left" w:pos="426"/>
          <w:tab w:val="left" w:pos="993"/>
        </w:tabs>
        <w:spacing w:after="0" w:line="259" w:lineRule="auto"/>
        <w:jc w:val="both"/>
        <w:rPr>
          <w:szCs w:val="28"/>
        </w:rPr>
      </w:pPr>
      <w:r w:rsidRPr="00C1159E">
        <w:rPr>
          <w:szCs w:val="28"/>
        </w:rPr>
        <w:tab/>
        <w:t>технічний нагляд здійснюється з метою контролю  за дотриманням   проектних  рішень  та  вимог  державних  стандартів, будівельних норм і правил,  а також контролю за якістю та обсягами  робіт,  виконаних  під  час  будівництва або зміни (зокрема шляхом знесення) такого об'єкта.</w:t>
      </w:r>
    </w:p>
    <w:p w:rsidR="00EA78BD" w:rsidRPr="00C1159E" w:rsidRDefault="00EA78BD" w:rsidP="00EA78BD">
      <w:pPr>
        <w:tabs>
          <w:tab w:val="left" w:pos="426"/>
          <w:tab w:val="left" w:pos="993"/>
        </w:tabs>
        <w:spacing w:after="0" w:line="259" w:lineRule="auto"/>
        <w:jc w:val="both"/>
        <w:rPr>
          <w:szCs w:val="28"/>
          <w:vertAlign w:val="superscript"/>
        </w:rPr>
      </w:pPr>
      <w:r>
        <w:rPr>
          <w:szCs w:val="28"/>
        </w:rPr>
        <w:tab/>
        <w:t xml:space="preserve"> П.</w:t>
      </w:r>
      <w:r w:rsidRPr="00C1159E">
        <w:rPr>
          <w:szCs w:val="28"/>
        </w:rPr>
        <w:t xml:space="preserve"> 4</w:t>
      </w:r>
      <w:r w:rsidRPr="00C1159E">
        <w:rPr>
          <w:szCs w:val="28"/>
          <w:vertAlign w:val="superscript"/>
        </w:rPr>
        <w:t xml:space="preserve">1 </w:t>
      </w:r>
      <w:r>
        <w:rPr>
          <w:szCs w:val="28"/>
        </w:rPr>
        <w:t>ч. 1 ст.</w:t>
      </w:r>
      <w:r w:rsidRPr="00C1159E">
        <w:rPr>
          <w:szCs w:val="28"/>
        </w:rPr>
        <w:t xml:space="preserve"> 1 Закону України «Про регулювання містобудівної» передбачено, що  інженер-консультант </w:t>
      </w:r>
      <w:r>
        <w:rPr>
          <w:szCs w:val="28"/>
        </w:rPr>
        <w:t>–</w:t>
      </w:r>
      <w:r w:rsidRPr="00C1159E">
        <w:rPr>
          <w:szCs w:val="28"/>
        </w:rPr>
        <w:t xml:space="preserve"> фахівець</w:t>
      </w:r>
      <w:r>
        <w:rPr>
          <w:szCs w:val="28"/>
        </w:rPr>
        <w:t xml:space="preserve"> </w:t>
      </w:r>
      <w:r w:rsidRPr="00C1159E">
        <w:rPr>
          <w:szCs w:val="28"/>
        </w:rPr>
        <w:t>… забезпечує організаційне і консультаційне супроводження комплексу робіт, пов’язаних із створенням об’єкта архітектури, приймає від імені замовника відповідні рішення та виконує інші функції, визначені договором.</w:t>
      </w:r>
    </w:p>
    <w:p w:rsidR="00EA78BD" w:rsidRPr="00C1159E" w:rsidRDefault="00EA78BD" w:rsidP="00EA78BD">
      <w:pPr>
        <w:tabs>
          <w:tab w:val="left" w:pos="426"/>
          <w:tab w:val="left" w:pos="993"/>
        </w:tabs>
        <w:spacing w:after="0" w:line="259" w:lineRule="auto"/>
        <w:jc w:val="both"/>
        <w:rPr>
          <w:szCs w:val="28"/>
        </w:rPr>
      </w:pPr>
      <w:r w:rsidRPr="00C1159E">
        <w:rPr>
          <w:szCs w:val="28"/>
        </w:rPr>
        <w:tab/>
        <w:t>Авторський і технічний нагляд, послуги інженера-консультанта є оплатними послугами, вартість яких визначається відповідно до Методики визначення вартості дорожніх робіт та послуг щодо визначення вартості нового будівництва, реконструкції, ремонтів та експлуатаційного утримання автомобільних доріг загального користування, затвердженої наказом Мінінфраструктури від 07 жовтня 2022 року № 753.</w:t>
      </w:r>
    </w:p>
    <w:p w:rsidR="00EA78BD" w:rsidRPr="00C1159E" w:rsidRDefault="00EA78BD" w:rsidP="00EA78BD">
      <w:pPr>
        <w:tabs>
          <w:tab w:val="left" w:pos="426"/>
          <w:tab w:val="left" w:pos="993"/>
        </w:tabs>
        <w:spacing w:after="0" w:line="259" w:lineRule="auto"/>
        <w:jc w:val="both"/>
        <w:rPr>
          <w:szCs w:val="28"/>
        </w:rPr>
      </w:pPr>
      <w:r w:rsidRPr="00C1159E">
        <w:rPr>
          <w:szCs w:val="28"/>
        </w:rPr>
        <w:tab/>
        <w:t>Абз</w:t>
      </w:r>
      <w:r>
        <w:rPr>
          <w:szCs w:val="28"/>
        </w:rPr>
        <w:t>. 1 ч. 1</w:t>
      </w:r>
      <w:r w:rsidRPr="00C1159E">
        <w:rPr>
          <w:szCs w:val="28"/>
        </w:rPr>
        <w:t xml:space="preserve"> ст</w:t>
      </w:r>
      <w:r>
        <w:rPr>
          <w:szCs w:val="28"/>
        </w:rPr>
        <w:t>.</w:t>
      </w:r>
      <w:r w:rsidRPr="00C1159E">
        <w:rPr>
          <w:szCs w:val="28"/>
        </w:rPr>
        <w:t xml:space="preserve"> 41 Закону України «Про регулювання містобудівної діяльності» передбачено, що державний архітектурно-будівельний контроль </w:t>
      </w:r>
      <w:r>
        <w:rPr>
          <w:szCs w:val="28"/>
        </w:rPr>
        <w:t>–</w:t>
      </w:r>
      <w:r w:rsidRPr="00C1159E">
        <w:rPr>
          <w:szCs w:val="28"/>
        </w:rPr>
        <w:t xml:space="preserve"> це сукупність заходів, спрямованих на дотримання замовниками, проектувальниками, підрядниками та експертними організаціями вимог законодавства у сфері містобудівної діяльності, будівельних норм і правил під час виконання підготовчих та будівельних робіт.</w:t>
      </w:r>
    </w:p>
    <w:p w:rsidR="00EA78BD" w:rsidRPr="00C1159E" w:rsidRDefault="00EA78BD" w:rsidP="00EA78BD">
      <w:pPr>
        <w:tabs>
          <w:tab w:val="left" w:pos="426"/>
          <w:tab w:val="left" w:pos="993"/>
        </w:tabs>
        <w:spacing w:after="0" w:line="240" w:lineRule="auto"/>
        <w:ind w:firstLine="567"/>
        <w:jc w:val="both"/>
        <w:rPr>
          <w:szCs w:val="28"/>
        </w:rPr>
      </w:pPr>
      <w:r w:rsidRPr="00C1159E">
        <w:rPr>
          <w:szCs w:val="28"/>
        </w:rPr>
        <w:t>Ч</w:t>
      </w:r>
      <w:r>
        <w:rPr>
          <w:szCs w:val="28"/>
        </w:rPr>
        <w:t>. 1 ст.</w:t>
      </w:r>
      <w:r w:rsidRPr="00C1159E">
        <w:rPr>
          <w:szCs w:val="28"/>
        </w:rPr>
        <w:t xml:space="preserve"> 627 Цивільного кодексу України передбачено, що відповідно до ст</w:t>
      </w:r>
      <w:r>
        <w:rPr>
          <w:szCs w:val="28"/>
        </w:rPr>
        <w:t>.</w:t>
      </w:r>
      <w:r w:rsidRPr="00C1159E">
        <w:rPr>
          <w:szCs w:val="28"/>
        </w:rPr>
        <w:t xml:space="preserve"> 6 цього Кодексу сторони є вільними в укладенні договору, виборі контрагента та визначенні умов договору з урахуванням вимог цього Кодексу, інших актів цивільного законодавства, звичаїв ділового обороту, вимог розумності та справедливості. </w:t>
      </w:r>
    </w:p>
    <w:p w:rsidR="00EA78BD" w:rsidRPr="00C1159E" w:rsidRDefault="00EA78BD" w:rsidP="00EA78BD">
      <w:pPr>
        <w:tabs>
          <w:tab w:val="left" w:pos="426"/>
          <w:tab w:val="left" w:pos="993"/>
        </w:tabs>
        <w:spacing w:after="0" w:line="240" w:lineRule="auto"/>
        <w:ind w:firstLine="567"/>
        <w:jc w:val="both"/>
        <w:rPr>
          <w:szCs w:val="28"/>
        </w:rPr>
      </w:pPr>
      <w:r w:rsidRPr="00C1159E">
        <w:rPr>
          <w:szCs w:val="28"/>
        </w:rPr>
        <w:t>Відповідно до ст</w:t>
      </w:r>
      <w:r>
        <w:rPr>
          <w:szCs w:val="28"/>
        </w:rPr>
        <w:t>.</w:t>
      </w:r>
      <w:r w:rsidRPr="00C1159E">
        <w:rPr>
          <w:szCs w:val="28"/>
        </w:rPr>
        <w:t xml:space="preserve"> 6 Господарського кодексу України одним із загальних принципів господарювання в Україні є заборона незаконного втручання органів державної влади та органів місцевого самоврядування, їх посадових</w:t>
      </w:r>
      <w:r>
        <w:rPr>
          <w:szCs w:val="28"/>
        </w:rPr>
        <w:t xml:space="preserve"> осіб у господарські відносини.</w:t>
      </w:r>
    </w:p>
    <w:p w:rsidR="00EA78BD" w:rsidRDefault="00EA78BD" w:rsidP="00EA78BD">
      <w:pPr>
        <w:spacing w:after="0" w:line="240" w:lineRule="auto"/>
        <w:ind w:firstLine="567"/>
        <w:jc w:val="both"/>
        <w:rPr>
          <w:szCs w:val="28"/>
        </w:rPr>
      </w:pPr>
      <w:r w:rsidRPr="00C1159E">
        <w:rPr>
          <w:szCs w:val="28"/>
        </w:rPr>
        <w:t xml:space="preserve">Враховуючи викладене, </w:t>
      </w:r>
      <w:r>
        <w:rPr>
          <w:szCs w:val="28"/>
        </w:rPr>
        <w:t>питання здійснення контролю якості робіт та послуг і технічного стану автомобільних доріг загального користування законодавством вже врегульовано.</w:t>
      </w:r>
    </w:p>
    <w:p w:rsidR="00EA78BD" w:rsidRDefault="00EA78BD" w:rsidP="00EA78BD">
      <w:pPr>
        <w:spacing w:after="0" w:line="240" w:lineRule="auto"/>
        <w:ind w:firstLine="567"/>
        <w:jc w:val="both"/>
        <w:rPr>
          <w:szCs w:val="28"/>
        </w:rPr>
      </w:pPr>
    </w:p>
    <w:p w:rsidR="00D15065" w:rsidRDefault="00D15065"/>
    <w:sectPr w:rsidR="00D15065" w:rsidSect="00EA78BD">
      <w:headerReference w:type="default" r:id="rId7"/>
      <w:pgSz w:w="12240" w:h="15840"/>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0C4" w:rsidRDefault="000350C4" w:rsidP="00EA78BD">
      <w:pPr>
        <w:spacing w:after="0" w:line="240" w:lineRule="auto"/>
      </w:pPr>
      <w:r>
        <w:separator/>
      </w:r>
    </w:p>
  </w:endnote>
  <w:endnote w:type="continuationSeparator" w:id="0">
    <w:p w:rsidR="000350C4" w:rsidRDefault="000350C4" w:rsidP="00EA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0C4" w:rsidRDefault="000350C4" w:rsidP="00EA78BD">
      <w:pPr>
        <w:spacing w:after="0" w:line="240" w:lineRule="auto"/>
      </w:pPr>
      <w:r>
        <w:separator/>
      </w:r>
    </w:p>
  </w:footnote>
  <w:footnote w:type="continuationSeparator" w:id="0">
    <w:p w:rsidR="000350C4" w:rsidRDefault="000350C4" w:rsidP="00EA7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961417"/>
      <w:docPartObj>
        <w:docPartGallery w:val="Page Numbers (Top of Page)"/>
        <w:docPartUnique/>
      </w:docPartObj>
    </w:sdtPr>
    <w:sdtContent>
      <w:p w:rsidR="00EA78BD" w:rsidRDefault="00EA78BD">
        <w:pPr>
          <w:pStyle w:val="a4"/>
          <w:jc w:val="center"/>
        </w:pPr>
        <w:r>
          <w:fldChar w:fldCharType="begin"/>
        </w:r>
        <w:r>
          <w:instrText>PAGE   \* MERGEFORMAT</w:instrText>
        </w:r>
        <w:r>
          <w:fldChar w:fldCharType="separate"/>
        </w:r>
        <w:r w:rsidRPr="00EA78BD">
          <w:rPr>
            <w:noProof/>
            <w:lang w:val="ru-RU"/>
          </w:rPr>
          <w:t>3</w:t>
        </w:r>
        <w:r>
          <w:fldChar w:fldCharType="end"/>
        </w:r>
      </w:p>
    </w:sdtContent>
  </w:sdt>
  <w:p w:rsidR="00EA78BD" w:rsidRDefault="00EA78B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319A2"/>
    <w:multiLevelType w:val="hybridMultilevel"/>
    <w:tmpl w:val="9DE0255C"/>
    <w:lvl w:ilvl="0" w:tplc="3CE4611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BD"/>
    <w:rsid w:val="000350C4"/>
    <w:rsid w:val="00D15065"/>
    <w:rsid w:val="00EA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DD11"/>
  <w15:chartTrackingRefBased/>
  <w15:docId w15:val="{09E1A38D-BB08-49F1-B6E1-7BE37D1E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8BD"/>
    <w:pPr>
      <w:spacing w:line="256" w:lineRule="auto"/>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8BD"/>
    <w:pPr>
      <w:ind w:left="720"/>
      <w:contextualSpacing/>
    </w:pPr>
  </w:style>
  <w:style w:type="paragraph" w:styleId="a4">
    <w:name w:val="header"/>
    <w:basedOn w:val="a"/>
    <w:link w:val="a5"/>
    <w:uiPriority w:val="99"/>
    <w:unhideWhenUsed/>
    <w:rsid w:val="00EA78BD"/>
    <w:pPr>
      <w:tabs>
        <w:tab w:val="center" w:pos="4986"/>
        <w:tab w:val="right" w:pos="9973"/>
      </w:tabs>
      <w:spacing w:after="0" w:line="240" w:lineRule="auto"/>
    </w:pPr>
  </w:style>
  <w:style w:type="character" w:customStyle="1" w:styleId="a5">
    <w:name w:val="Верхний колонтитул Знак"/>
    <w:basedOn w:val="a0"/>
    <w:link w:val="a4"/>
    <w:uiPriority w:val="99"/>
    <w:rsid w:val="00EA78BD"/>
    <w:rPr>
      <w:rFonts w:ascii="Times New Roman" w:eastAsia="Times New Roman" w:hAnsi="Times New Roman" w:cs="Times New Roman"/>
      <w:sz w:val="28"/>
      <w:szCs w:val="24"/>
      <w:lang w:val="uk-UA"/>
    </w:rPr>
  </w:style>
  <w:style w:type="paragraph" w:styleId="a6">
    <w:name w:val="footer"/>
    <w:basedOn w:val="a"/>
    <w:link w:val="a7"/>
    <w:uiPriority w:val="99"/>
    <w:unhideWhenUsed/>
    <w:rsid w:val="00EA78BD"/>
    <w:pPr>
      <w:tabs>
        <w:tab w:val="center" w:pos="4986"/>
        <w:tab w:val="right" w:pos="9973"/>
      </w:tabs>
      <w:spacing w:after="0" w:line="240" w:lineRule="auto"/>
    </w:pPr>
  </w:style>
  <w:style w:type="character" w:customStyle="1" w:styleId="a7">
    <w:name w:val="Нижний колонтитул Знак"/>
    <w:basedOn w:val="a0"/>
    <w:link w:val="a6"/>
    <w:uiPriority w:val="99"/>
    <w:rsid w:val="00EA78BD"/>
    <w:rPr>
      <w:rFonts w:ascii="Times New Roman" w:eastAsia="Times New Roman" w:hAnsi="Times New Roman" w:cs="Times New Roman"/>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Рябова Ольга Олексіївна</dc:creator>
  <cp:keywords/>
  <dc:description/>
  <cp:lastModifiedBy>Рябова Ольга Олексіївна</cp:lastModifiedBy>
  <cp:revision>1</cp:revision>
  <dcterms:created xsi:type="dcterms:W3CDTF">2024-04-08T08:05:00Z</dcterms:created>
  <dcterms:modified xsi:type="dcterms:W3CDTF">2024-04-08T08:06:00Z</dcterms:modified>
</cp:coreProperties>
</file>