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1"/>
        <w:gridCol w:w="5429"/>
      </w:tblGrid>
      <w:tr w:rsidR="00B43F7B" w:rsidRPr="00B43F7B" w14:paraId="29158832" w14:textId="77777777" w:rsidTr="00B43F7B">
        <w:trPr>
          <w:trHeight w:val="317"/>
        </w:trPr>
        <w:tc>
          <w:tcPr>
            <w:tcW w:w="4101" w:type="dxa"/>
            <w:vAlign w:val="bottom"/>
            <w:hideMark/>
          </w:tcPr>
          <w:p w14:paraId="7A1EF8C9" w14:textId="2D57B961" w:rsidR="00B43F7B" w:rsidRPr="00B43F7B" w:rsidRDefault="00B43F7B" w:rsidP="00B43F7B">
            <w:pPr>
              <w:spacing w:after="0" w:line="240" w:lineRule="auto"/>
              <w:ind w:left="142"/>
              <w:jc w:val="center"/>
              <w:rPr>
                <w:rFonts w:eastAsia="Times New Roman"/>
                <w:color w:val="336699"/>
                <w:sz w:val="32"/>
                <w:szCs w:val="26"/>
                <w:lang w:eastAsia="ru-RU"/>
              </w:rPr>
            </w:pPr>
            <w:r w:rsidRPr="00B43F7B">
              <w:rPr>
                <w:rFonts w:eastAsia="Times New Roman"/>
                <w:noProof/>
                <w:color w:val="0070C0"/>
                <w:szCs w:val="24"/>
                <w:lang w:eastAsia="ru-RU"/>
              </w:rPr>
              <w:drawing>
                <wp:inline distT="0" distB="0" distL="0" distR="0" wp14:anchorId="4BD30977" wp14:editId="3AD58B8F">
                  <wp:extent cx="492657" cy="666750"/>
                  <wp:effectExtent l="0" t="0" r="3175" b="0"/>
                  <wp:docPr id="2" name="Рисунок 2" descr="C:\Documents and Settings\390_1\Application Data\Liga70\Client\User\kp11124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" descr="C:\Documents and Settings\390_1\Application Data\Liga70\Client\User\kp111242_img_001.gif"/>
                          <pic:cNvPicPr/>
                        </pic:nvPicPr>
                        <pic:blipFill dpi="0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9" w:type="dxa"/>
          </w:tcPr>
          <w:p w14:paraId="113B4011" w14:textId="77777777" w:rsidR="00B43F7B" w:rsidRPr="00B43F7B" w:rsidRDefault="00B43F7B" w:rsidP="00B43F7B">
            <w:pPr>
              <w:spacing w:after="0" w:line="240" w:lineRule="auto"/>
              <w:ind w:left="1163"/>
              <w:jc w:val="both"/>
              <w:rPr>
                <w:rFonts w:eastAsia="Times New Roman"/>
                <w:lang w:eastAsia="ru-RU"/>
              </w:rPr>
            </w:pPr>
          </w:p>
        </w:tc>
      </w:tr>
      <w:tr w:rsidR="00B43F7B" w:rsidRPr="00B43F7B" w14:paraId="71F3E8F9" w14:textId="77777777" w:rsidTr="00B43F7B">
        <w:trPr>
          <w:trHeight w:val="312"/>
        </w:trPr>
        <w:tc>
          <w:tcPr>
            <w:tcW w:w="4101" w:type="dxa"/>
            <w:vAlign w:val="bottom"/>
            <w:hideMark/>
          </w:tcPr>
          <w:p w14:paraId="3A16AC99" w14:textId="77777777" w:rsidR="00B43F7B" w:rsidRPr="00B43F7B" w:rsidRDefault="00B43F7B" w:rsidP="00B43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  <w:szCs w:val="26"/>
                <w:lang w:eastAsia="ru-RU"/>
              </w:rPr>
            </w:pPr>
            <w:r w:rsidRPr="00B43F7B">
              <w:rPr>
                <w:rFonts w:eastAsia="Times New Roman"/>
                <w:b/>
                <w:bCs/>
                <w:color w:val="0070C0"/>
                <w:szCs w:val="26"/>
                <w:lang w:eastAsia="ru-RU"/>
              </w:rPr>
              <w:t xml:space="preserve">МІНІСТЕРСТВО ОБОРОНИ </w:t>
            </w:r>
          </w:p>
        </w:tc>
        <w:tc>
          <w:tcPr>
            <w:tcW w:w="5429" w:type="dxa"/>
            <w:vMerge w:val="restart"/>
            <w:hideMark/>
          </w:tcPr>
          <w:p w14:paraId="2641564C" w14:textId="77777777" w:rsidR="00B43F7B" w:rsidRDefault="00B43F7B" w:rsidP="00B43F7B">
            <w:pPr>
              <w:spacing w:after="0" w:line="240" w:lineRule="auto"/>
              <w:ind w:left="1776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Міністру оборони України</w:t>
            </w:r>
          </w:p>
          <w:p w14:paraId="12E83989" w14:textId="674FC941" w:rsidR="00B43F7B" w:rsidRPr="00B43F7B" w:rsidRDefault="00B43F7B" w:rsidP="00B43F7B">
            <w:pPr>
              <w:spacing w:after="0" w:line="240" w:lineRule="auto"/>
              <w:ind w:left="1776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Денису ШМИГАЛЮ</w:t>
            </w:r>
          </w:p>
        </w:tc>
      </w:tr>
      <w:tr w:rsidR="00B43F7B" w:rsidRPr="00B43F7B" w14:paraId="5BA7A108" w14:textId="77777777" w:rsidTr="00B43F7B">
        <w:trPr>
          <w:trHeight w:val="312"/>
        </w:trPr>
        <w:tc>
          <w:tcPr>
            <w:tcW w:w="4101" w:type="dxa"/>
            <w:vAlign w:val="bottom"/>
            <w:hideMark/>
          </w:tcPr>
          <w:p w14:paraId="353D9F1B" w14:textId="77777777" w:rsidR="00B43F7B" w:rsidRPr="00B43F7B" w:rsidRDefault="00B43F7B" w:rsidP="00B43F7B">
            <w:pPr>
              <w:spacing w:after="0" w:line="240" w:lineRule="auto"/>
              <w:ind w:left="142"/>
              <w:jc w:val="center"/>
              <w:rPr>
                <w:rFonts w:eastAsia="Times New Roman"/>
                <w:noProof/>
                <w:color w:val="0070C0"/>
                <w:szCs w:val="24"/>
                <w:lang w:eastAsia="ru-RU"/>
              </w:rPr>
            </w:pPr>
            <w:r w:rsidRPr="00B43F7B">
              <w:rPr>
                <w:rFonts w:eastAsia="Times New Roman"/>
                <w:b/>
                <w:bCs/>
                <w:color w:val="0070C0"/>
                <w:szCs w:val="26"/>
                <w:lang w:eastAsia="ru-RU"/>
              </w:rPr>
              <w:t>УКРАЇНИ</w:t>
            </w:r>
          </w:p>
        </w:tc>
        <w:tc>
          <w:tcPr>
            <w:tcW w:w="5429" w:type="dxa"/>
            <w:vMerge/>
            <w:vAlign w:val="center"/>
            <w:hideMark/>
          </w:tcPr>
          <w:p w14:paraId="180D9206" w14:textId="77777777" w:rsidR="00B43F7B" w:rsidRPr="00B43F7B" w:rsidRDefault="00B43F7B" w:rsidP="00B43F7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43F7B" w:rsidRPr="00B43F7B" w14:paraId="6857B6C8" w14:textId="77777777" w:rsidTr="00B43F7B">
        <w:trPr>
          <w:trHeight w:val="312"/>
        </w:trPr>
        <w:tc>
          <w:tcPr>
            <w:tcW w:w="4101" w:type="dxa"/>
            <w:vAlign w:val="bottom"/>
            <w:hideMark/>
          </w:tcPr>
          <w:p w14:paraId="48D99A3B" w14:textId="77777777" w:rsidR="00B43F7B" w:rsidRPr="00B43F7B" w:rsidRDefault="00B43F7B" w:rsidP="00B43F7B">
            <w:pPr>
              <w:spacing w:after="0" w:line="240" w:lineRule="auto"/>
              <w:ind w:left="37"/>
              <w:jc w:val="center"/>
              <w:rPr>
                <w:rFonts w:eastAsia="Times New Roman"/>
                <w:noProof/>
                <w:color w:val="0070C0"/>
                <w:szCs w:val="24"/>
                <w:lang w:eastAsia="ru-RU"/>
              </w:rPr>
            </w:pPr>
            <w:r w:rsidRPr="00B43F7B">
              <w:rPr>
                <w:rFonts w:eastAsia="Times New Roman"/>
                <w:b/>
                <w:bCs/>
                <w:color w:val="0070C0"/>
                <w:szCs w:val="26"/>
                <w:lang w:eastAsia="ru-RU"/>
              </w:rPr>
              <w:t>ДЕПАРТАМЕНТ КАДРОВОЇ</w:t>
            </w:r>
          </w:p>
        </w:tc>
        <w:tc>
          <w:tcPr>
            <w:tcW w:w="5429" w:type="dxa"/>
            <w:vMerge/>
            <w:vAlign w:val="center"/>
            <w:hideMark/>
          </w:tcPr>
          <w:p w14:paraId="5EFE999B" w14:textId="77777777" w:rsidR="00B43F7B" w:rsidRPr="00B43F7B" w:rsidRDefault="00B43F7B" w:rsidP="00B43F7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43F7B" w:rsidRPr="00B43F7B" w14:paraId="669C3E3E" w14:textId="77777777" w:rsidTr="00B43F7B">
        <w:trPr>
          <w:trHeight w:val="312"/>
        </w:trPr>
        <w:tc>
          <w:tcPr>
            <w:tcW w:w="4101" w:type="dxa"/>
            <w:vAlign w:val="bottom"/>
            <w:hideMark/>
          </w:tcPr>
          <w:p w14:paraId="080C10F1" w14:textId="77777777" w:rsidR="00B43F7B" w:rsidRPr="00B43F7B" w:rsidRDefault="00B43F7B" w:rsidP="00B43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  <w:szCs w:val="26"/>
                <w:lang w:eastAsia="ru-RU"/>
              </w:rPr>
            </w:pPr>
            <w:r w:rsidRPr="00B43F7B">
              <w:rPr>
                <w:rFonts w:eastAsia="Times New Roman"/>
                <w:b/>
                <w:bCs/>
                <w:color w:val="0070C0"/>
                <w:szCs w:val="26"/>
                <w:lang w:eastAsia="ru-RU"/>
              </w:rPr>
              <w:t>ПОЛІТИКИ</w:t>
            </w:r>
          </w:p>
        </w:tc>
        <w:tc>
          <w:tcPr>
            <w:tcW w:w="5429" w:type="dxa"/>
            <w:vMerge/>
            <w:vAlign w:val="center"/>
            <w:hideMark/>
          </w:tcPr>
          <w:p w14:paraId="51F2B1CF" w14:textId="77777777" w:rsidR="00B43F7B" w:rsidRPr="00B43F7B" w:rsidRDefault="00B43F7B" w:rsidP="00B43F7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43F7B" w:rsidRPr="00B43F7B" w14:paraId="3F500911" w14:textId="77777777" w:rsidTr="00B43F7B">
        <w:trPr>
          <w:trHeight w:val="312"/>
        </w:trPr>
        <w:tc>
          <w:tcPr>
            <w:tcW w:w="4101" w:type="dxa"/>
            <w:vAlign w:val="bottom"/>
            <w:hideMark/>
          </w:tcPr>
          <w:p w14:paraId="130CCDE2" w14:textId="77777777" w:rsidR="00B43F7B" w:rsidRPr="00B43F7B" w:rsidRDefault="00B43F7B" w:rsidP="00B43F7B">
            <w:pPr>
              <w:spacing w:after="0" w:line="240" w:lineRule="auto"/>
              <w:jc w:val="center"/>
              <w:rPr>
                <w:rFonts w:eastAsia="Times New Roman"/>
                <w:color w:val="336699"/>
                <w:sz w:val="24"/>
                <w:szCs w:val="26"/>
                <w:lang w:eastAsia="ru-RU"/>
              </w:rPr>
            </w:pPr>
            <w:r w:rsidRPr="00B43F7B">
              <w:rPr>
                <w:rFonts w:eastAsia="Times New Roman"/>
                <w:color w:val="336699"/>
                <w:sz w:val="24"/>
                <w:szCs w:val="26"/>
                <w:lang w:eastAsia="ru-RU"/>
              </w:rPr>
              <w:t>м. Київ, 03168</w:t>
            </w:r>
          </w:p>
        </w:tc>
        <w:tc>
          <w:tcPr>
            <w:tcW w:w="5429" w:type="dxa"/>
            <w:vMerge/>
            <w:vAlign w:val="center"/>
            <w:hideMark/>
          </w:tcPr>
          <w:p w14:paraId="6D430627" w14:textId="77777777" w:rsidR="00B43F7B" w:rsidRPr="00B43F7B" w:rsidRDefault="00B43F7B" w:rsidP="00B43F7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43F7B" w:rsidRPr="00B43F7B" w14:paraId="310644CC" w14:textId="77777777" w:rsidTr="00B43F7B">
        <w:trPr>
          <w:trHeight w:val="312"/>
        </w:trPr>
        <w:tc>
          <w:tcPr>
            <w:tcW w:w="4101" w:type="dxa"/>
            <w:vAlign w:val="bottom"/>
            <w:hideMark/>
          </w:tcPr>
          <w:p w14:paraId="7C78B799" w14:textId="77777777" w:rsidR="00B43F7B" w:rsidRPr="00B43F7B" w:rsidRDefault="00B43F7B" w:rsidP="00B43F7B">
            <w:pPr>
              <w:spacing w:after="0" w:line="240" w:lineRule="auto"/>
              <w:ind w:left="142"/>
              <w:jc w:val="center"/>
              <w:rPr>
                <w:rFonts w:eastAsia="Times New Roman"/>
                <w:noProof/>
                <w:color w:val="0070C0"/>
                <w:sz w:val="24"/>
                <w:szCs w:val="24"/>
                <w:lang w:eastAsia="ru-RU"/>
              </w:rPr>
            </w:pPr>
            <w:r w:rsidRPr="00B43F7B">
              <w:rPr>
                <w:rFonts w:eastAsia="Times New Roman"/>
                <w:color w:val="336699"/>
                <w:sz w:val="26"/>
                <w:szCs w:val="26"/>
                <w:lang w:eastAsia="ru-RU"/>
              </w:rPr>
              <w:t>“____” ____.2025 р. № _______</w:t>
            </w:r>
          </w:p>
        </w:tc>
        <w:tc>
          <w:tcPr>
            <w:tcW w:w="5429" w:type="dxa"/>
            <w:vMerge/>
            <w:vAlign w:val="center"/>
            <w:hideMark/>
          </w:tcPr>
          <w:p w14:paraId="3E287466" w14:textId="77777777" w:rsidR="00B43F7B" w:rsidRPr="00B43F7B" w:rsidRDefault="00B43F7B" w:rsidP="00B43F7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43F7B" w:rsidRPr="00B43F7B" w14:paraId="0115C066" w14:textId="77777777" w:rsidTr="00B43F7B">
        <w:trPr>
          <w:trHeight w:val="312"/>
        </w:trPr>
        <w:tc>
          <w:tcPr>
            <w:tcW w:w="4101" w:type="dxa"/>
            <w:vAlign w:val="bottom"/>
          </w:tcPr>
          <w:p w14:paraId="588A147C" w14:textId="77777777" w:rsidR="00B43F7B" w:rsidRPr="00B43F7B" w:rsidRDefault="00B43F7B" w:rsidP="00B43F7B">
            <w:pPr>
              <w:spacing w:after="0" w:line="240" w:lineRule="auto"/>
              <w:ind w:left="142"/>
              <w:jc w:val="center"/>
              <w:rPr>
                <w:rFonts w:eastAsia="Times New Roman"/>
                <w:color w:val="336699"/>
                <w:sz w:val="26"/>
                <w:szCs w:val="26"/>
                <w:lang w:eastAsia="ru-RU"/>
              </w:rPr>
            </w:pPr>
          </w:p>
        </w:tc>
        <w:tc>
          <w:tcPr>
            <w:tcW w:w="5429" w:type="dxa"/>
            <w:vMerge/>
            <w:vAlign w:val="center"/>
            <w:hideMark/>
          </w:tcPr>
          <w:p w14:paraId="4440B2BC" w14:textId="77777777" w:rsidR="00B43F7B" w:rsidRPr="00B43F7B" w:rsidRDefault="00B43F7B" w:rsidP="00B43F7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7DB3AA39" w14:textId="77777777" w:rsidR="00122D74" w:rsidRPr="006E6BE4" w:rsidRDefault="00122D74" w:rsidP="001B00AB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Times New Roman"/>
          <w:lang w:eastAsia="x-none"/>
        </w:rPr>
      </w:pPr>
    </w:p>
    <w:p w14:paraId="709643EA" w14:textId="13A94F9C" w:rsidR="00122D74" w:rsidRDefault="00AB524D" w:rsidP="001B00AB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Times New Roman"/>
          <w:lang w:eastAsia="x-none"/>
        </w:rPr>
      </w:pPr>
      <w:r w:rsidRPr="006E6BE4">
        <w:rPr>
          <w:rFonts w:eastAsia="Times New Roman"/>
          <w:lang w:eastAsia="x-none"/>
        </w:rPr>
        <w:t>ДОПОВІДНА ЗАПИСКА</w:t>
      </w:r>
    </w:p>
    <w:p w14:paraId="6C4805DD" w14:textId="77777777" w:rsidR="006C7575" w:rsidRDefault="006C7575" w:rsidP="001B00AB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до проєкту наказу Міністерства оборони України </w:t>
      </w:r>
    </w:p>
    <w:p w14:paraId="793AC5A9" w14:textId="77777777" w:rsidR="006C7575" w:rsidRPr="00D21BA8" w:rsidRDefault="006C7575" w:rsidP="001B00AB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“Про затвердження Змін до Інструкції про організацію виконання </w:t>
      </w:r>
      <w:r w:rsidRPr="00D21BA8">
        <w:rPr>
          <w:rFonts w:eastAsia="Times New Roman"/>
          <w:lang w:eastAsia="x-none"/>
        </w:rPr>
        <w:t xml:space="preserve">Положення про проходження громадянами України військової служби </w:t>
      </w:r>
    </w:p>
    <w:p w14:paraId="615FD8C1" w14:textId="36551606" w:rsidR="006C7575" w:rsidRPr="00D21BA8" w:rsidRDefault="006C7575" w:rsidP="001B00AB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Times New Roman"/>
          <w:lang w:eastAsia="x-none"/>
        </w:rPr>
      </w:pPr>
      <w:r w:rsidRPr="00D21BA8">
        <w:rPr>
          <w:rFonts w:eastAsia="Times New Roman"/>
          <w:lang w:eastAsia="x-none"/>
        </w:rPr>
        <w:t>у Збройних Силах України”</w:t>
      </w:r>
    </w:p>
    <w:p w14:paraId="63E4B685" w14:textId="7327CA81" w:rsidR="00122D74" w:rsidRPr="00D21BA8" w:rsidRDefault="00122D74" w:rsidP="001B00AB">
      <w:pPr>
        <w:widowControl w:val="0"/>
        <w:tabs>
          <w:tab w:val="left" w:pos="4395"/>
          <w:tab w:val="right" w:pos="48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Times New Roman"/>
          <w:lang w:eastAsia="x-none"/>
        </w:rPr>
      </w:pPr>
    </w:p>
    <w:p w14:paraId="5890B0D8" w14:textId="49FA26CE" w:rsidR="009C1D19" w:rsidRPr="00D21BA8" w:rsidRDefault="009C1D19" w:rsidP="001B00AB">
      <w:pPr>
        <w:widowControl w:val="0"/>
        <w:tabs>
          <w:tab w:val="left" w:pos="4395"/>
          <w:tab w:val="right" w:pos="48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b/>
          <w:lang w:eastAsia="x-none"/>
        </w:rPr>
      </w:pPr>
      <w:r w:rsidRPr="00D21BA8">
        <w:rPr>
          <w:rFonts w:eastAsia="Times New Roman"/>
          <w:b/>
          <w:lang w:eastAsia="x-none"/>
        </w:rPr>
        <w:t>1. Мета видання наказу</w:t>
      </w:r>
    </w:p>
    <w:p w14:paraId="0BB9BEB1" w14:textId="77777777" w:rsidR="00D21BA8" w:rsidRPr="00D21BA8" w:rsidRDefault="00D21BA8" w:rsidP="00D21BA8">
      <w:pPr>
        <w:widowControl w:val="0"/>
        <w:tabs>
          <w:tab w:val="left" w:pos="4395"/>
          <w:tab w:val="right" w:pos="4860"/>
        </w:tabs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eastAsia="Times New Roman"/>
          <w:sz w:val="12"/>
          <w:szCs w:val="12"/>
          <w:lang w:eastAsia="x-none"/>
        </w:rPr>
      </w:pPr>
    </w:p>
    <w:p w14:paraId="5075FBB4" w14:textId="6D0FA1A9" w:rsidR="001B00AB" w:rsidRPr="00D21BA8" w:rsidRDefault="00F373B3" w:rsidP="00534BFB">
      <w:pPr>
        <w:widowControl w:val="0"/>
        <w:tabs>
          <w:tab w:val="left" w:pos="4395"/>
          <w:tab w:val="right" w:pos="4860"/>
        </w:tabs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eastAsia="Times New Roman"/>
          <w:lang w:eastAsia="x-none"/>
        </w:rPr>
      </w:pPr>
      <w:r w:rsidRPr="00D21BA8">
        <w:rPr>
          <w:rFonts w:eastAsia="Times New Roman"/>
          <w:lang w:eastAsia="x-none"/>
        </w:rPr>
        <w:t>Наказ розроблено з метою</w:t>
      </w:r>
      <w:r w:rsidR="00AF7FB4" w:rsidRPr="00D21BA8">
        <w:rPr>
          <w:rFonts w:eastAsia="Times New Roman"/>
          <w:lang w:eastAsia="x-none"/>
        </w:rPr>
        <w:t xml:space="preserve"> </w:t>
      </w:r>
      <w:r w:rsidR="001B00AB" w:rsidRPr="00D21BA8">
        <w:rPr>
          <w:rFonts w:eastAsia="Times New Roman"/>
          <w:lang w:eastAsia="x-none"/>
        </w:rPr>
        <w:t>встановлення механізму прийняття на військову службу за контрактом під час дії воєнного стану осіб, які досягли граничного віку перебування на військовій службі, а також приведення положень Інструкції про організацію виконання Положення про проходження громадянами України військової служби у Збройних Силах України, затвердженої наказом Міністра оборони України від 10 квітня 2009 року № 170, зареєстрованої в Міністерстві юстиції України 19 травня 2009 року за № 438/16454 (далі – Інструкція), у відповідність із законодавством України, у частині удосконалення порядку проходження військовослужбовцями військової служби у період дії воєнного стану.</w:t>
      </w:r>
    </w:p>
    <w:p w14:paraId="713D1BA9" w14:textId="77777777" w:rsidR="001B00AB" w:rsidRPr="00D21BA8" w:rsidRDefault="001B00AB" w:rsidP="001B00AB">
      <w:pPr>
        <w:widowControl w:val="0"/>
        <w:tabs>
          <w:tab w:val="left" w:pos="4395"/>
          <w:tab w:val="right" w:pos="48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lang w:eastAsia="x-none"/>
        </w:rPr>
      </w:pPr>
    </w:p>
    <w:p w14:paraId="3898939D" w14:textId="3D8E054B" w:rsidR="00D96B5A" w:rsidRPr="00D21BA8" w:rsidRDefault="00D96B5A" w:rsidP="001B00AB">
      <w:pPr>
        <w:widowControl w:val="0"/>
        <w:tabs>
          <w:tab w:val="left" w:pos="4395"/>
          <w:tab w:val="right" w:pos="48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b/>
          <w:lang w:eastAsia="x-none"/>
        </w:rPr>
      </w:pPr>
      <w:r w:rsidRPr="00D21BA8">
        <w:rPr>
          <w:rFonts w:eastAsia="Times New Roman"/>
          <w:b/>
          <w:lang w:eastAsia="x-none"/>
        </w:rPr>
        <w:t>2. Обґрунтування необхідності видання наказу</w:t>
      </w:r>
    </w:p>
    <w:p w14:paraId="77EA1F57" w14:textId="77777777" w:rsidR="004261CC" w:rsidRPr="00D21BA8" w:rsidRDefault="004261C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jc w:val="both"/>
        <w:rPr>
          <w:rFonts w:eastAsia="Times New Roman"/>
        </w:rPr>
      </w:pPr>
      <w:r w:rsidRPr="00D21BA8">
        <w:rPr>
          <w:rFonts w:eastAsia="Times New Roman"/>
        </w:rPr>
        <w:t xml:space="preserve">Видання наказу обумовлене необхідністю: </w:t>
      </w:r>
    </w:p>
    <w:p w14:paraId="56CE964E" w14:textId="77777777" w:rsidR="004261CC" w:rsidRPr="00D21BA8" w:rsidRDefault="004261C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jc w:val="both"/>
        <w:rPr>
          <w:rFonts w:eastAsia="Times New Roman"/>
          <w:lang w:eastAsia="x-none"/>
        </w:rPr>
      </w:pPr>
      <w:r w:rsidRPr="00D21BA8">
        <w:rPr>
          <w:rFonts w:eastAsia="Times New Roman"/>
        </w:rPr>
        <w:t xml:space="preserve">встановлення </w:t>
      </w:r>
      <w:r w:rsidRPr="00D21BA8">
        <w:rPr>
          <w:rFonts w:eastAsia="Times New Roman"/>
          <w:lang w:eastAsia="x-none"/>
        </w:rPr>
        <w:t>механізму прийняття на військову службу за контрактом під час дії воєнного стану осіб, які досягли граничного віку перебування на військовій службі;</w:t>
      </w:r>
    </w:p>
    <w:p w14:paraId="47BA0412" w14:textId="13101AD3" w:rsidR="001B00AB" w:rsidRPr="00D21BA8" w:rsidRDefault="004261C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jc w:val="both"/>
        <w:rPr>
          <w:rFonts w:eastAsia="Times New Roman"/>
          <w:lang w:eastAsia="x-none"/>
        </w:rPr>
      </w:pPr>
      <w:r w:rsidRPr="00D21BA8">
        <w:rPr>
          <w:rFonts w:eastAsia="Times New Roman"/>
          <w:lang w:eastAsia="x-none"/>
        </w:rPr>
        <w:t>спрощення порядку призначення військовослужбовців під час дії воєнного стану на військові посади без відповідного рівня військової освіти;</w:t>
      </w:r>
    </w:p>
    <w:p w14:paraId="3ABC70B0" w14:textId="260DD068" w:rsidR="005933AD" w:rsidRDefault="00D21BA8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jc w:val="both"/>
        <w:rPr>
          <w:rFonts w:eastAsia="Times New Roman"/>
        </w:rPr>
      </w:pPr>
      <w:r w:rsidRPr="00D21BA8">
        <w:rPr>
          <w:rFonts w:eastAsia="Times New Roman"/>
        </w:rPr>
        <w:t xml:space="preserve">удосконалення порядку прийняття рішень щодо продовження військовослужбовцям військової служби понад граничний вік перебування на військовій службі, а також встановлення посадових осіб, які мають право </w:t>
      </w:r>
      <w:r>
        <w:rPr>
          <w:rFonts w:eastAsia="Times New Roman"/>
        </w:rPr>
        <w:br/>
      </w:r>
    </w:p>
    <w:p w14:paraId="06049CC3" w14:textId="16183BD7" w:rsidR="004261CC" w:rsidRDefault="004261C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jc w:val="both"/>
        <w:rPr>
          <w:rFonts w:eastAsia="Times New Roman"/>
        </w:rPr>
        <w:sectPr w:rsidR="004261CC" w:rsidSect="001B00AB">
          <w:headerReference w:type="default" r:id="rId9"/>
          <w:pgSz w:w="11906" w:h="16838"/>
          <w:pgMar w:top="993" w:right="567" w:bottom="2268" w:left="1701" w:header="709" w:footer="709" w:gutter="0"/>
          <w:cols w:space="708"/>
          <w:titlePg/>
          <w:docGrid w:linePitch="381"/>
        </w:sectPr>
      </w:pPr>
    </w:p>
    <w:p w14:paraId="4A860D35" w14:textId="69DEA062" w:rsidR="00D21BA8" w:rsidRDefault="00D21BA8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jc w:val="both"/>
        <w:rPr>
          <w:rFonts w:eastAsia="Times New Roman"/>
        </w:rPr>
      </w:pPr>
      <w:r w:rsidRPr="00D21BA8">
        <w:rPr>
          <w:rFonts w:eastAsia="Times New Roman"/>
        </w:rPr>
        <w:lastRenderedPageBreak/>
        <w:t>видавати накази по особовому складу про продовження військовослужбовцям військової служби понад граничний вік перебування на військовій службі та укладення нового контракту на строк такого продовження.</w:t>
      </w:r>
    </w:p>
    <w:p w14:paraId="1CBBBA14" w14:textId="77777777" w:rsidR="00D21BA8" w:rsidRPr="00D21BA8" w:rsidRDefault="00D21BA8" w:rsidP="00D2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contextualSpacing/>
        <w:jc w:val="both"/>
        <w:rPr>
          <w:rFonts w:eastAsia="Times New Roman"/>
        </w:rPr>
      </w:pPr>
    </w:p>
    <w:p w14:paraId="1B2B6027" w14:textId="3548F259" w:rsidR="000E4E11" w:rsidRPr="00AC73C2" w:rsidRDefault="000E4E11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b/>
        </w:rPr>
      </w:pPr>
      <w:r w:rsidRPr="00AC73C2">
        <w:rPr>
          <w:rFonts w:eastAsia="Times New Roman"/>
          <w:b/>
        </w:rPr>
        <w:t>3. Основні положення наказу</w:t>
      </w:r>
    </w:p>
    <w:p w14:paraId="0A1C1EE5" w14:textId="77777777" w:rsidR="00B43F7B" w:rsidRPr="00B43F7B" w:rsidRDefault="00B43F7B" w:rsidP="00B43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33" w:lineRule="auto"/>
        <w:ind w:firstLine="720"/>
        <w:contextualSpacing/>
        <w:jc w:val="both"/>
        <w:rPr>
          <w:rFonts w:eastAsia="Calibri"/>
          <w:sz w:val="12"/>
          <w:szCs w:val="12"/>
        </w:rPr>
      </w:pPr>
      <w:bookmarkStart w:id="0" w:name="_Hlk194426584"/>
    </w:p>
    <w:p w14:paraId="73D9E040" w14:textId="5EE8D87C" w:rsidR="00B43F7B" w:rsidRDefault="00B43F7B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contextualSpacing/>
        <w:jc w:val="both"/>
        <w:rPr>
          <w:rFonts w:eastAsia="Calibri"/>
        </w:rPr>
      </w:pPr>
      <w:r w:rsidRPr="00B43F7B">
        <w:rPr>
          <w:rFonts w:eastAsia="Calibri"/>
        </w:rPr>
        <w:t>Наказом передбачається затвердження Змін до Інструкції, зокрема:</w:t>
      </w:r>
    </w:p>
    <w:p w14:paraId="25C5FA38" w14:textId="77777777" w:rsidR="00D42222" w:rsidRPr="00D42222" w:rsidRDefault="00D42222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contextualSpacing/>
        <w:jc w:val="both"/>
        <w:rPr>
          <w:rFonts w:eastAsia="Calibri"/>
          <w:sz w:val="12"/>
          <w:szCs w:val="12"/>
        </w:rPr>
      </w:pPr>
    </w:p>
    <w:p w14:paraId="107B373A" w14:textId="782B5D65" w:rsidR="00BF0F5F" w:rsidRDefault="00374DB1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contextualSpacing/>
        <w:jc w:val="both"/>
        <w:rPr>
          <w:rFonts w:eastAsia="Calibri"/>
        </w:rPr>
      </w:pPr>
      <w:r w:rsidRPr="00374DB1">
        <w:rPr>
          <w:rFonts w:eastAsia="Calibri"/>
        </w:rPr>
        <w:t>у пункті 1.3 розділу І Інструкції встановити, що військово-обліковий документ, який підтверджує належність громадянина України до військової служби, встановленої статтею 2 Закону України “Про військовий обов’язок і військову службу”, оформляється (створюється) та видається у порядку визначеному Міністерств</w:t>
      </w:r>
      <w:r w:rsidR="00CE405B">
        <w:rPr>
          <w:rFonts w:eastAsia="Calibri"/>
        </w:rPr>
        <w:t>ом</w:t>
      </w:r>
      <w:r w:rsidRPr="00374DB1">
        <w:rPr>
          <w:rFonts w:eastAsia="Calibri"/>
        </w:rPr>
        <w:t xml:space="preserve"> оборони України</w:t>
      </w:r>
      <w:r>
        <w:rPr>
          <w:rFonts w:eastAsia="Calibri"/>
        </w:rPr>
        <w:t>;</w:t>
      </w:r>
    </w:p>
    <w:p w14:paraId="610F0973" w14:textId="0017AD30" w:rsidR="002A7FFC" w:rsidRDefault="002A7FF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contextualSpacing/>
        <w:jc w:val="both"/>
        <w:rPr>
          <w:rFonts w:eastAsia="Calibri"/>
        </w:rPr>
      </w:pPr>
      <w:r w:rsidRPr="002A7FFC">
        <w:rPr>
          <w:rFonts w:eastAsia="Calibri"/>
        </w:rPr>
        <w:t>у пункті 2.7 розділу ІІ Інструкції удосконалити порядок укладення нових контрактів із військовослужбовцями, які проходять військову службу за контрактом та відряджені до державних органів, підприємств, установ, організацій, а також державних та комунальних закладів освіти для виконання завдань в інтересах оборони держави та її безпеки із залишенням на військовій службі без виключення із списків особового складу Збройних Сил України, у тому числі понад граничний вік перебування на військовій службі;</w:t>
      </w:r>
    </w:p>
    <w:p w14:paraId="3E862803" w14:textId="0184E9F1" w:rsidR="002A7FFC" w:rsidRPr="002A7FFC" w:rsidRDefault="002A7FF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contextualSpacing/>
        <w:jc w:val="both"/>
        <w:rPr>
          <w:rFonts w:eastAsia="Calibri"/>
        </w:rPr>
      </w:pPr>
      <w:r w:rsidRPr="002A7FFC">
        <w:rPr>
          <w:rFonts w:eastAsia="Calibri"/>
        </w:rPr>
        <w:t>у пункті 4.4 розділу IV Інструкції удосконал</w:t>
      </w:r>
      <w:r w:rsidR="007B62BC">
        <w:rPr>
          <w:rFonts w:eastAsia="Calibri"/>
        </w:rPr>
        <w:t>ити</w:t>
      </w:r>
      <w:r w:rsidRPr="002A7FFC">
        <w:rPr>
          <w:rFonts w:eastAsia="Calibri"/>
        </w:rPr>
        <w:t xml:space="preserve"> процес управління службовою кар’єрою шляхом запровадження нового етапу, на якому здійснюватиметься огляд службової кар’єри військовослужбовця і складатимуться нові індивідуальні плани управління кар’єрою;</w:t>
      </w:r>
    </w:p>
    <w:p w14:paraId="3BB9E1BE" w14:textId="77777777" w:rsidR="002A7FFC" w:rsidRPr="002A7FFC" w:rsidRDefault="002A7FF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contextualSpacing/>
        <w:jc w:val="both"/>
        <w:rPr>
          <w:rFonts w:eastAsia="Calibri"/>
        </w:rPr>
      </w:pPr>
      <w:r w:rsidRPr="002A7FFC">
        <w:rPr>
          <w:rFonts w:eastAsia="Calibri"/>
        </w:rPr>
        <w:t>врегулювати особливості призначення осіб офіцерського складу на посади за новою спеціальністю або без відповідного рівня військової освіти у мирний та воєнний час;</w:t>
      </w:r>
    </w:p>
    <w:p w14:paraId="65160A04" w14:textId="7FA61613" w:rsidR="002A7FFC" w:rsidRPr="002A7FFC" w:rsidRDefault="002A7FF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contextualSpacing/>
        <w:jc w:val="both"/>
        <w:rPr>
          <w:rFonts w:eastAsia="Calibri"/>
        </w:rPr>
      </w:pPr>
      <w:r w:rsidRPr="002A7FFC">
        <w:rPr>
          <w:rFonts w:eastAsia="Calibri"/>
        </w:rPr>
        <w:t>у пункті 7.14 розділу VII Інструкції унормувати порядок оцінювання військовослужбовців у разі розбіжностей висновків і рекомендації безпосереднього і прямого начальника, які здійснювали щорічне оцінювання між собою та</w:t>
      </w:r>
      <w:r w:rsidR="007B62BC">
        <w:rPr>
          <w:rFonts w:eastAsia="Calibri"/>
        </w:rPr>
        <w:t> </w:t>
      </w:r>
      <w:r w:rsidRPr="002A7FFC">
        <w:rPr>
          <w:rFonts w:eastAsia="Calibri"/>
        </w:rPr>
        <w:t>/</w:t>
      </w:r>
      <w:r w:rsidR="007B62BC">
        <w:rPr>
          <w:rFonts w:eastAsia="Calibri"/>
        </w:rPr>
        <w:t> </w:t>
      </w:r>
      <w:r w:rsidRPr="002A7FFC">
        <w:rPr>
          <w:rFonts w:eastAsia="Calibri"/>
        </w:rPr>
        <w:t>або з посадовою особою, яка проводила незалежне оцінювання;</w:t>
      </w:r>
    </w:p>
    <w:p w14:paraId="198B2D0C" w14:textId="7AA728A2" w:rsidR="002A7FFC" w:rsidRPr="002A7FFC" w:rsidRDefault="002A7FF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contextualSpacing/>
        <w:jc w:val="both"/>
        <w:rPr>
          <w:rFonts w:eastAsia="Calibri"/>
        </w:rPr>
      </w:pPr>
      <w:r w:rsidRPr="002A7FFC">
        <w:rPr>
          <w:rFonts w:eastAsia="Calibri"/>
        </w:rPr>
        <w:t>розділ ХІ Інструкції викласти у новій редакції, якою удосконалити процес прийняття рішень щодо продовження військової служби понад граничний вік перебування на військов</w:t>
      </w:r>
      <w:r w:rsidR="007B62BC">
        <w:rPr>
          <w:rFonts w:eastAsia="Calibri"/>
        </w:rPr>
        <w:t>ій</w:t>
      </w:r>
      <w:r w:rsidRPr="002A7FFC">
        <w:rPr>
          <w:rFonts w:eastAsia="Calibri"/>
        </w:rPr>
        <w:t xml:space="preserve"> службі, а також порядок видання наказів про продовження військової служби понад граничний вік перебування на військовій службі та укладення нових контрактів;</w:t>
      </w:r>
    </w:p>
    <w:p w14:paraId="0B4BE6ED" w14:textId="1C875499" w:rsidR="002A7FFC" w:rsidRPr="002A7FFC" w:rsidRDefault="002A7FF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contextualSpacing/>
        <w:jc w:val="both"/>
        <w:rPr>
          <w:rFonts w:eastAsia="Calibri"/>
        </w:rPr>
      </w:pPr>
      <w:r w:rsidRPr="002A7FFC">
        <w:rPr>
          <w:rFonts w:eastAsia="Calibri"/>
        </w:rPr>
        <w:t>новим пунктом 14.36 розділу XIV Інструкції</w:t>
      </w:r>
      <w:r w:rsidR="007B62BC">
        <w:rPr>
          <w:rFonts w:eastAsia="Calibri"/>
        </w:rPr>
        <w:t>, яким</w:t>
      </w:r>
      <w:r w:rsidRPr="002A7FFC">
        <w:rPr>
          <w:rFonts w:eastAsia="Calibri"/>
        </w:rPr>
        <w:t xml:space="preserve"> встановити особливості прийняття на військову службу за контрактом осіб, які досягли граничного віку перебування на військовій службі під час дії воєнного стану, а також порядок проходження ними військової служби;</w:t>
      </w:r>
    </w:p>
    <w:p w14:paraId="275BBA65" w14:textId="79E6C319" w:rsidR="002A7FFC" w:rsidRPr="00BF0F5F" w:rsidRDefault="002A7FFC" w:rsidP="0053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before="120" w:after="120" w:line="240" w:lineRule="auto"/>
        <w:ind w:firstLine="709"/>
        <w:contextualSpacing/>
        <w:jc w:val="both"/>
        <w:rPr>
          <w:rFonts w:eastAsia="Calibri"/>
        </w:rPr>
      </w:pPr>
      <w:r w:rsidRPr="002A7FFC">
        <w:rPr>
          <w:rFonts w:eastAsia="Calibri"/>
        </w:rPr>
        <w:t>у тексті Інструкції замінити слова “одержаних під час виконання обов’язків військової служби” на слова “одержаних під час захисту Вітчизни” з метою приведення термінології у відповідність до положень нормативно-правових актів вищої юридичної сили, усунення термінологічних розбіжностей та забезпечення єдності правозастосування.</w:t>
      </w:r>
    </w:p>
    <w:p w14:paraId="28C1D1BA" w14:textId="77777777" w:rsidR="00B22541" w:rsidRPr="008357C3" w:rsidRDefault="00B22541" w:rsidP="00B2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33" w:lineRule="auto"/>
        <w:ind w:firstLine="720"/>
        <w:contextualSpacing/>
        <w:jc w:val="both"/>
        <w:rPr>
          <w:rFonts w:eastAsia="Calibri"/>
          <w:sz w:val="12"/>
          <w:szCs w:val="12"/>
        </w:rPr>
      </w:pPr>
    </w:p>
    <w:bookmarkEnd w:id="0"/>
    <w:p w14:paraId="612AE209" w14:textId="6A6CCCF0" w:rsidR="00DA6531" w:rsidRPr="003B51F4" w:rsidRDefault="00DA6531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b/>
        </w:rPr>
      </w:pPr>
      <w:r w:rsidRPr="003B51F4">
        <w:rPr>
          <w:rFonts w:eastAsia="Times New Roman"/>
          <w:b/>
        </w:rPr>
        <w:lastRenderedPageBreak/>
        <w:t>4. Підстави видання наказу</w:t>
      </w:r>
    </w:p>
    <w:p w14:paraId="54A4DCD2" w14:textId="77777777" w:rsidR="004A2900" w:rsidRPr="004A2900" w:rsidRDefault="004A2900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sz w:val="12"/>
          <w:szCs w:val="12"/>
        </w:rPr>
      </w:pPr>
    </w:p>
    <w:p w14:paraId="15E0F34F" w14:textId="77777777" w:rsidR="007B62BC" w:rsidRDefault="007B62BC" w:rsidP="007B6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20" w:line="240" w:lineRule="auto"/>
        <w:ind w:firstLine="709"/>
        <w:contextualSpacing/>
        <w:jc w:val="both"/>
        <w:rPr>
          <w:rFonts w:eastAsia="Times New Roman"/>
        </w:rPr>
      </w:pPr>
      <w:r w:rsidRPr="001B00AB">
        <w:rPr>
          <w:rFonts w:eastAsia="Times New Roman"/>
        </w:rPr>
        <w:t>Наказ розроблено на виконання</w:t>
      </w:r>
      <w:r>
        <w:rPr>
          <w:rFonts w:eastAsia="Times New Roman"/>
        </w:rPr>
        <w:t>:</w:t>
      </w:r>
      <w:r w:rsidRPr="001B00AB">
        <w:rPr>
          <w:rFonts w:eastAsia="Times New Roman"/>
        </w:rPr>
        <w:t xml:space="preserve"> </w:t>
      </w:r>
    </w:p>
    <w:p w14:paraId="71E2CE06" w14:textId="6D5B60DC" w:rsidR="007B62BC" w:rsidRPr="003A396F" w:rsidRDefault="003A396F" w:rsidP="003A3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2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7B62BC" w:rsidRPr="003A396F">
        <w:rPr>
          <w:rFonts w:eastAsia="Times New Roman"/>
        </w:rPr>
        <w:t>Закону України від 16 липня 2025 року № 4539-IX “Про внесення змін до Закону України “Про військовий обов’язок і військову службу” щодо проходження військової служби за контрактом особами, які досягли граничного віку перебування на військовій службі” (далі – Закон № 4539-IX);</w:t>
      </w:r>
    </w:p>
    <w:p w14:paraId="749CE6FB" w14:textId="5BFA0A0E" w:rsidR="004677D6" w:rsidRDefault="007B62BC" w:rsidP="007B6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протоколу робочої наради щодо оптимізації процесу управлінської діяльності в Міністерстві оборони України, затвердженого заступником Міністра оборони України з питань цифрового розвитку, цифрових трансформацій і цифровізації Оксаною Ф</w:t>
      </w:r>
      <w:r w:rsidR="003A396F">
        <w:rPr>
          <w:rFonts w:eastAsia="Times New Roman"/>
        </w:rPr>
        <w:t>ерчук</w:t>
      </w:r>
      <w:r>
        <w:rPr>
          <w:rFonts w:eastAsia="Times New Roman"/>
        </w:rPr>
        <w:t xml:space="preserve"> </w:t>
      </w:r>
      <w:r w:rsidRPr="005A61EC">
        <w:rPr>
          <w:rFonts w:eastAsia="Times New Roman"/>
          <w:i/>
        </w:rPr>
        <w:t>(№ 5048/уд/1 від 26.09.2025)</w:t>
      </w:r>
      <w:r>
        <w:rPr>
          <w:rFonts w:eastAsia="Times New Roman"/>
        </w:rPr>
        <w:t>.</w:t>
      </w:r>
    </w:p>
    <w:p w14:paraId="3E626EF2" w14:textId="77777777" w:rsidR="00A61905" w:rsidRPr="008357C3" w:rsidRDefault="00A61905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sz w:val="12"/>
          <w:szCs w:val="12"/>
        </w:rPr>
      </w:pPr>
    </w:p>
    <w:p w14:paraId="3A7286B9" w14:textId="77777777" w:rsidR="007A5CBB" w:rsidRPr="00D12030" w:rsidRDefault="007A5CBB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33" w:lineRule="auto"/>
        <w:ind w:firstLine="720"/>
        <w:contextualSpacing/>
        <w:jc w:val="both"/>
        <w:rPr>
          <w:rFonts w:eastAsia="Calibri"/>
        </w:rPr>
      </w:pPr>
      <w:r w:rsidRPr="00D12030">
        <w:rPr>
          <w:rFonts w:eastAsia="Calibri"/>
          <w:b/>
        </w:rPr>
        <w:t>5. Фінансово-економічне обґрунтування</w:t>
      </w:r>
    </w:p>
    <w:p w14:paraId="2D026947" w14:textId="77777777" w:rsidR="00A61905" w:rsidRPr="00A61905" w:rsidRDefault="00A61905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33" w:lineRule="auto"/>
        <w:ind w:firstLine="720"/>
        <w:contextualSpacing/>
        <w:jc w:val="both"/>
        <w:rPr>
          <w:rFonts w:eastAsia="Calibri"/>
          <w:sz w:val="12"/>
          <w:szCs w:val="12"/>
        </w:rPr>
      </w:pPr>
    </w:p>
    <w:p w14:paraId="69631BEF" w14:textId="17009437" w:rsidR="007A5CBB" w:rsidRPr="00D12030" w:rsidRDefault="00A61905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33" w:lineRule="auto"/>
        <w:ind w:firstLine="720"/>
        <w:contextualSpacing/>
        <w:jc w:val="both"/>
        <w:rPr>
          <w:rFonts w:eastAsia="Calibri"/>
        </w:rPr>
      </w:pPr>
      <w:r w:rsidRPr="00A61905">
        <w:rPr>
          <w:rFonts w:eastAsia="Calibri"/>
        </w:rPr>
        <w:t>Реалізація наказу буде здійснюватися в межах видатків, передбачених Міністерству оборони України на відповідні цілі, та не потребує виділення додаткового фінансування з державного чи місцевого бюджетів України.</w:t>
      </w:r>
    </w:p>
    <w:p w14:paraId="0DE58D83" w14:textId="791406F9" w:rsidR="007A5CBB" w:rsidRPr="008357C3" w:rsidRDefault="007A5CBB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sz w:val="12"/>
          <w:szCs w:val="12"/>
        </w:rPr>
      </w:pPr>
    </w:p>
    <w:p w14:paraId="105C7226" w14:textId="3919E0AE" w:rsidR="00893C17" w:rsidRPr="00951B3F" w:rsidRDefault="00893C17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b/>
        </w:rPr>
      </w:pPr>
      <w:r w:rsidRPr="00951B3F">
        <w:rPr>
          <w:rFonts w:eastAsia="Times New Roman"/>
          <w:b/>
        </w:rPr>
        <w:t>6. Результати погодження</w:t>
      </w:r>
    </w:p>
    <w:p w14:paraId="7934B8C6" w14:textId="77777777" w:rsidR="00A61905" w:rsidRPr="00A61905" w:rsidRDefault="00A61905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sz w:val="12"/>
          <w:szCs w:val="12"/>
          <w:highlight w:val="yellow"/>
        </w:rPr>
      </w:pPr>
    </w:p>
    <w:p w14:paraId="7A7EE3F8" w14:textId="0BADD665" w:rsidR="000C2402" w:rsidRPr="00D737B2" w:rsidRDefault="000C2402" w:rsidP="000C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</w:rPr>
      </w:pPr>
      <w:r w:rsidRPr="00D737B2">
        <w:rPr>
          <w:rFonts w:eastAsia="Times New Roman"/>
        </w:rPr>
        <w:t>Проєкт наказу погоджено</w:t>
      </w:r>
      <w:r w:rsidR="008D02E3" w:rsidRPr="00D737B2">
        <w:rPr>
          <w:rFonts w:eastAsia="Times New Roman"/>
        </w:rPr>
        <w:t>:</w:t>
      </w:r>
    </w:p>
    <w:p w14:paraId="661FE8D0" w14:textId="2706858F" w:rsidR="00211DFD" w:rsidRPr="00D737B2" w:rsidRDefault="00211DFD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</w:rPr>
      </w:pPr>
    </w:p>
    <w:p w14:paraId="403E8083" w14:textId="423DDA72" w:rsidR="008D02E3" w:rsidRPr="00D737B2" w:rsidRDefault="008D02E3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 w:rsidRPr="00D737B2">
        <w:t>1) без зауважень:</w:t>
      </w:r>
    </w:p>
    <w:p w14:paraId="59F215F0" w14:textId="7CC34CA7" w:rsidR="008D02E3" w:rsidRPr="00D737B2" w:rsidRDefault="008D02E3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</w:rPr>
      </w:pPr>
    </w:p>
    <w:p w14:paraId="00BFCD4A" w14:textId="77777777" w:rsidR="007D7CD7" w:rsidRPr="00D737B2" w:rsidRDefault="007D7CD7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 w:rsidRPr="00D737B2">
        <w:t>Департаментом соціального забезпечення Міністерства оборони України;</w:t>
      </w:r>
    </w:p>
    <w:p w14:paraId="4B93C033" w14:textId="5D1B1ADC" w:rsidR="00457639" w:rsidRPr="00D737B2" w:rsidRDefault="00457639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 w:rsidRPr="00D737B2">
        <w:t>Департаментом охорони здоров’я Міністерства оборони України;</w:t>
      </w:r>
    </w:p>
    <w:p w14:paraId="3D5410F3" w14:textId="0D5681F6" w:rsidR="00457639" w:rsidRPr="00747358" w:rsidRDefault="00457639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 w:rsidRPr="00747358">
        <w:t>Департаментом з питань запобігання та виявлення корупції Міністерства оборони України;</w:t>
      </w:r>
    </w:p>
    <w:p w14:paraId="0E1D51FD" w14:textId="4E3B777B" w:rsidR="00457639" w:rsidRPr="00747358" w:rsidRDefault="00457639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 w:rsidRPr="00747358">
        <w:t>Департаментом охорони державної таємниці Міністерства оборони України;</w:t>
      </w:r>
    </w:p>
    <w:p w14:paraId="6B43F9D2" w14:textId="79333316" w:rsidR="00457639" w:rsidRDefault="007D7CD7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 w:rsidRPr="00D737B2">
        <w:t>Адміністрацією Державної спеціальної служби транспорту;</w:t>
      </w:r>
    </w:p>
    <w:p w14:paraId="3C3BC14A" w14:textId="5F528F25" w:rsidR="00E20BB3" w:rsidRPr="00E20BB3" w:rsidRDefault="00E20BB3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>
        <w:t>Головним управлінням захисту прав військовослужбовців.</w:t>
      </w:r>
    </w:p>
    <w:p w14:paraId="28E748C8" w14:textId="77777777" w:rsidR="00457639" w:rsidRPr="009A3FEE" w:rsidRDefault="00457639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  <w:highlight w:val="yellow"/>
        </w:rPr>
      </w:pPr>
    </w:p>
    <w:p w14:paraId="18582B7B" w14:textId="413FACB9" w:rsidR="00D737B2" w:rsidRDefault="001829A4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 w:rsidRPr="00D737B2">
        <w:t>2) </w:t>
      </w:r>
      <w:r w:rsidR="00D737B2" w:rsidRPr="00D737B2">
        <w:t>із зауваженнями, які враховано:</w:t>
      </w:r>
    </w:p>
    <w:p w14:paraId="42D212A5" w14:textId="77777777" w:rsidR="00957AE0" w:rsidRPr="00957AE0" w:rsidRDefault="00957AE0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</w:rPr>
      </w:pPr>
    </w:p>
    <w:p w14:paraId="07868974" w14:textId="0506140D" w:rsidR="00D737B2" w:rsidRDefault="00D737B2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 w:rsidRPr="00D737B2">
        <w:t>Департаментом військової освіти і науки Міністерства оборони України</w:t>
      </w:r>
      <w:r w:rsidR="00957AE0">
        <w:t>;</w:t>
      </w:r>
    </w:p>
    <w:p w14:paraId="553BF091" w14:textId="7788CD34" w:rsidR="00957AE0" w:rsidRPr="00710E3C" w:rsidRDefault="00957AE0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</w:rPr>
      </w:pPr>
    </w:p>
    <w:p w14:paraId="56353E9F" w14:textId="26489F15" w:rsidR="00957AE0" w:rsidRDefault="00957AE0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>
        <w:t>3) із зауваженнями, які не враховано:</w:t>
      </w:r>
    </w:p>
    <w:p w14:paraId="4B0BA758" w14:textId="630DA299" w:rsidR="00710E3C" w:rsidRDefault="00710E3C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</w:rPr>
      </w:pPr>
    </w:p>
    <w:p w14:paraId="1D23AC83" w14:textId="47FD4A89" w:rsidR="00710E3C" w:rsidRDefault="00710E3C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Cs w:val="12"/>
        </w:rPr>
      </w:pPr>
      <w:r>
        <w:rPr>
          <w:szCs w:val="12"/>
        </w:rPr>
        <w:t>військовою частиною А 0515, відповідно, до проєкту наказу додано протокол розбіжностей.</w:t>
      </w:r>
    </w:p>
    <w:p w14:paraId="632A61B3" w14:textId="77777777" w:rsidR="00FE5DA0" w:rsidRPr="00FE5DA0" w:rsidRDefault="00FE5DA0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</w:rPr>
      </w:pPr>
    </w:p>
    <w:p w14:paraId="0D6080B3" w14:textId="60860179" w:rsidR="00E04E20" w:rsidRPr="007A417D" w:rsidRDefault="00FE5DA0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Cs w:val="12"/>
        </w:rPr>
      </w:pPr>
      <w:r w:rsidRPr="007A417D">
        <w:rPr>
          <w:szCs w:val="12"/>
        </w:rPr>
        <w:t xml:space="preserve">Відповідно до наказу Міністерства юстиції України від 02 січня 2026 року № 11/5 “Про повернення нормативно-правового </w:t>
      </w:r>
      <w:proofErr w:type="spellStart"/>
      <w:r w:rsidRPr="007A417D">
        <w:rPr>
          <w:szCs w:val="12"/>
        </w:rPr>
        <w:t>акта</w:t>
      </w:r>
      <w:proofErr w:type="spellEnd"/>
      <w:r w:rsidRPr="007A417D">
        <w:rPr>
          <w:szCs w:val="12"/>
        </w:rPr>
        <w:t xml:space="preserve"> без державної реєстрації для доопрацювання” наказ </w:t>
      </w:r>
      <w:r w:rsidR="00E04E20" w:rsidRPr="007A417D">
        <w:rPr>
          <w:szCs w:val="12"/>
        </w:rPr>
        <w:t>Міністерства оборони України від 18 грудня 2025</w:t>
      </w:r>
      <w:r w:rsidR="008C7CAB" w:rsidRPr="007A417D">
        <w:rPr>
          <w:szCs w:val="12"/>
        </w:rPr>
        <w:t> </w:t>
      </w:r>
      <w:r w:rsidR="00E04E20" w:rsidRPr="007A417D">
        <w:rPr>
          <w:szCs w:val="12"/>
        </w:rPr>
        <w:t xml:space="preserve">року “Про затвердження Змін до Інструкції про організацію виконання Положення про проходження громадянами України військової служби у Збройних Силах України” доопрацьовано та приведено у відповідність до вимог законодавства, включаючи правила </w:t>
      </w:r>
      <w:proofErr w:type="spellStart"/>
      <w:r w:rsidR="00E04E20" w:rsidRPr="007A417D">
        <w:rPr>
          <w:szCs w:val="12"/>
        </w:rPr>
        <w:t>нормопроєктуальної</w:t>
      </w:r>
      <w:proofErr w:type="spellEnd"/>
      <w:r w:rsidR="00E04E20" w:rsidRPr="007A417D">
        <w:rPr>
          <w:szCs w:val="12"/>
        </w:rPr>
        <w:t xml:space="preserve"> техніки, визначені актами з питань документування управлінської діяльності.</w:t>
      </w:r>
    </w:p>
    <w:p w14:paraId="367775A5" w14:textId="77777777" w:rsidR="00957AE0" w:rsidRPr="00957AE0" w:rsidRDefault="00957AE0" w:rsidP="007D7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  <w:highlight w:val="yellow"/>
        </w:rPr>
      </w:pPr>
    </w:p>
    <w:p w14:paraId="386AC81E" w14:textId="6D4E0B99" w:rsidR="00B901AF" w:rsidRDefault="00B901AF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b/>
        </w:rPr>
      </w:pPr>
      <w:r w:rsidRPr="00B901AF">
        <w:rPr>
          <w:b/>
        </w:rPr>
        <w:t>6</w:t>
      </w:r>
      <w:r w:rsidRPr="00B901AF">
        <w:rPr>
          <w:b/>
          <w:vertAlign w:val="superscript"/>
        </w:rPr>
        <w:t>1</w:t>
      </w:r>
      <w:r w:rsidRPr="00B901AF">
        <w:rPr>
          <w:b/>
        </w:rPr>
        <w:t>. </w:t>
      </w:r>
      <w:r>
        <w:rPr>
          <w:b/>
        </w:rPr>
        <w:t>Інформація про зміну заголовка проєкту наказу під час його опрацювання (у разі такої зміни)</w:t>
      </w:r>
    </w:p>
    <w:p w14:paraId="3EEE2118" w14:textId="77777777" w:rsidR="00AC4495" w:rsidRPr="00AC4495" w:rsidRDefault="00AC4495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</w:rPr>
      </w:pPr>
    </w:p>
    <w:p w14:paraId="2486D5D6" w14:textId="0D9161D8" w:rsidR="00B901AF" w:rsidRDefault="008F6F5E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</w:pPr>
      <w:r>
        <w:t>За результатами погодження та проведення юридичної експертизи заголовок проєкту наказу не змінювався.</w:t>
      </w:r>
    </w:p>
    <w:p w14:paraId="2003998A" w14:textId="45260226" w:rsidR="00B901AF" w:rsidRPr="008357C3" w:rsidRDefault="00B901AF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</w:rPr>
      </w:pPr>
    </w:p>
    <w:p w14:paraId="5E2D3C6D" w14:textId="292558D2" w:rsidR="00B901AF" w:rsidRPr="00B901AF" w:rsidRDefault="00B901AF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b/>
        </w:rPr>
      </w:pPr>
      <w:r w:rsidRPr="00B901AF">
        <w:rPr>
          <w:b/>
        </w:rPr>
        <w:t>6</w:t>
      </w:r>
      <w:r w:rsidRPr="00B901AF">
        <w:rPr>
          <w:b/>
          <w:vertAlign w:val="superscript"/>
        </w:rPr>
        <w:t>2</w:t>
      </w:r>
      <w:r w:rsidRPr="00B901AF">
        <w:rPr>
          <w:b/>
        </w:rPr>
        <w:t>. Результати проведення юридичної експертизи</w:t>
      </w:r>
    </w:p>
    <w:p w14:paraId="34D8AF97" w14:textId="333D90C6" w:rsidR="00AC4495" w:rsidRPr="00AC4495" w:rsidRDefault="008F6F5E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sz w:val="12"/>
          <w:szCs w:val="12"/>
        </w:rPr>
      </w:pPr>
      <w:r>
        <w:t>За результатами проведення юридичної експертизи проєкту наказу Департаментом юридичного забезпечення Міністерства оборони України надано зауваження, які враховано.</w:t>
      </w:r>
    </w:p>
    <w:p w14:paraId="5BB2BDCA" w14:textId="77777777" w:rsidR="008F6F5E" w:rsidRDefault="008F6F5E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b/>
        </w:rPr>
      </w:pPr>
    </w:p>
    <w:p w14:paraId="74BF1B76" w14:textId="0D1437F1" w:rsidR="00893C17" w:rsidRPr="00951B3F" w:rsidRDefault="00893C17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b/>
        </w:rPr>
      </w:pPr>
      <w:r w:rsidRPr="00951B3F">
        <w:rPr>
          <w:rFonts w:eastAsia="Times New Roman"/>
          <w:b/>
        </w:rPr>
        <w:t>7. Терміни (строки) відпрацювання наказу</w:t>
      </w:r>
    </w:p>
    <w:p w14:paraId="4D4AA866" w14:textId="77777777" w:rsidR="00B30107" w:rsidRPr="00B30107" w:rsidRDefault="00B30107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sz w:val="12"/>
          <w:szCs w:val="12"/>
        </w:rPr>
      </w:pPr>
    </w:p>
    <w:p w14:paraId="2F69AB9A" w14:textId="7D66013E" w:rsidR="00711DEB" w:rsidRPr="00951B3F" w:rsidRDefault="00B30107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</w:rPr>
      </w:pPr>
      <w:r w:rsidRPr="00B30107">
        <w:rPr>
          <w:rFonts w:eastAsia="Times New Roman"/>
        </w:rPr>
        <w:t>Термін відпрацювання проєкту наказу не встановлювався.</w:t>
      </w:r>
    </w:p>
    <w:p w14:paraId="19131BBC" w14:textId="0D1BCCD3" w:rsidR="00893C17" w:rsidRPr="008357C3" w:rsidRDefault="00893C17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sz w:val="12"/>
          <w:szCs w:val="12"/>
        </w:rPr>
      </w:pPr>
    </w:p>
    <w:p w14:paraId="7E8D5FBD" w14:textId="442B3B14" w:rsidR="00893C17" w:rsidRDefault="00893C17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b/>
        </w:rPr>
      </w:pPr>
      <w:r w:rsidRPr="00951B3F">
        <w:rPr>
          <w:rFonts w:eastAsia="Times New Roman"/>
          <w:b/>
        </w:rPr>
        <w:t>8. Інформація щодо можливості розміщення наказу на вебсайті Міністерства оборони України</w:t>
      </w:r>
    </w:p>
    <w:p w14:paraId="498648EE" w14:textId="77777777" w:rsidR="00B30107" w:rsidRPr="00B30107" w:rsidRDefault="00B30107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  <w:b/>
          <w:sz w:val="12"/>
          <w:szCs w:val="12"/>
        </w:rPr>
      </w:pPr>
    </w:p>
    <w:p w14:paraId="0237FB56" w14:textId="6EFEB11A" w:rsidR="00893C17" w:rsidRPr="005803B8" w:rsidRDefault="00893C17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00" w:afterAutospacing="1" w:line="233" w:lineRule="auto"/>
        <w:ind w:firstLine="709"/>
        <w:contextualSpacing/>
        <w:jc w:val="both"/>
        <w:rPr>
          <w:rFonts w:eastAsia="Times New Roman"/>
        </w:rPr>
      </w:pPr>
      <w:r w:rsidRPr="00951B3F">
        <w:t xml:space="preserve">Наказ пропонується розмістити на вебсайті Міністерства оборони України та Єдиному державному вебпорталі відкритих даних за адресою </w:t>
      </w:r>
      <w:r w:rsidRPr="00951B3F">
        <w:rPr>
          <w:lang w:val="en-US"/>
        </w:rPr>
        <w:t>data</w:t>
      </w:r>
      <w:r w:rsidRPr="00951B3F">
        <w:t>.</w:t>
      </w:r>
      <w:r w:rsidRPr="00951B3F">
        <w:rPr>
          <w:lang w:val="en-US"/>
        </w:rPr>
        <w:t>gov</w:t>
      </w:r>
      <w:r w:rsidRPr="00951B3F">
        <w:t>.</w:t>
      </w:r>
      <w:r w:rsidRPr="00951B3F">
        <w:rPr>
          <w:lang w:val="en-US"/>
        </w:rPr>
        <w:t>ua</w:t>
      </w:r>
      <w:r w:rsidRPr="00951B3F">
        <w:t xml:space="preserve">. </w:t>
      </w:r>
      <w:r w:rsidRPr="006E6BE4">
        <w:t xml:space="preserve">Експертиза на відсутність інформації з обмеженим доступом проведена </w:t>
      </w:r>
      <w:r w:rsidRPr="005803B8">
        <w:t>(протокол від </w:t>
      </w:r>
      <w:r w:rsidR="005803B8" w:rsidRPr="005803B8">
        <w:t>01 грудня</w:t>
      </w:r>
      <w:r w:rsidR="004001BE" w:rsidRPr="005803B8">
        <w:t xml:space="preserve"> 2025 року</w:t>
      </w:r>
      <w:r w:rsidRPr="005803B8">
        <w:t xml:space="preserve"> № </w:t>
      </w:r>
      <w:r w:rsidR="005803B8" w:rsidRPr="005803B8">
        <w:t>45</w:t>
      </w:r>
      <w:r w:rsidRPr="005803B8">
        <w:t>)</w:t>
      </w:r>
      <w:r w:rsidR="004001BE" w:rsidRPr="005803B8">
        <w:t>.</w:t>
      </w:r>
    </w:p>
    <w:p w14:paraId="21F66982" w14:textId="77777777" w:rsidR="00122D74" w:rsidRPr="006E6BE4" w:rsidRDefault="00122D74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33" w:lineRule="auto"/>
        <w:ind w:right="1" w:firstLine="709"/>
        <w:contextualSpacing/>
        <w:jc w:val="both"/>
        <w:rPr>
          <w:rFonts w:eastAsia="Times New Roman"/>
        </w:rPr>
      </w:pPr>
    </w:p>
    <w:p w14:paraId="57581678" w14:textId="77D50FA4" w:rsidR="00122D74" w:rsidRDefault="00122D74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33" w:lineRule="auto"/>
        <w:ind w:firstLine="709"/>
        <w:contextualSpacing/>
        <w:jc w:val="both"/>
        <w:rPr>
          <w:rFonts w:eastAsia="Times New Roman"/>
        </w:rPr>
      </w:pPr>
    </w:p>
    <w:p w14:paraId="43C5F3F9" w14:textId="77777777" w:rsidR="00AC4495" w:rsidRPr="006E6BE4" w:rsidRDefault="00AC4495" w:rsidP="005F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33" w:lineRule="auto"/>
        <w:ind w:firstLine="709"/>
        <w:contextualSpacing/>
        <w:jc w:val="both"/>
        <w:rPr>
          <w:rFonts w:eastAsia="Times New Roman"/>
        </w:rPr>
      </w:pPr>
    </w:p>
    <w:p w14:paraId="49AE780D" w14:textId="3888B5B3" w:rsidR="008977BB" w:rsidRDefault="005D0390" w:rsidP="005F0434">
      <w:pPr>
        <w:spacing w:after="0" w:line="233" w:lineRule="auto"/>
      </w:pPr>
      <w:r>
        <w:t>Директор Департаменту кадрової політики</w:t>
      </w:r>
    </w:p>
    <w:p w14:paraId="6FAF6E3D" w14:textId="0CCF949B" w:rsidR="005D0390" w:rsidRDefault="005D0390" w:rsidP="005F0434">
      <w:pPr>
        <w:spacing w:after="0" w:line="233" w:lineRule="auto"/>
      </w:pPr>
      <w:r>
        <w:t>Міністерства оборони України</w:t>
      </w:r>
    </w:p>
    <w:p w14:paraId="1284AB45" w14:textId="58EEBCA5" w:rsidR="005D0390" w:rsidRDefault="005D0390" w:rsidP="005F0434">
      <w:pPr>
        <w:tabs>
          <w:tab w:val="left" w:pos="7371"/>
        </w:tabs>
        <w:spacing w:after="0" w:line="233" w:lineRule="auto"/>
      </w:pPr>
      <w:r>
        <w:t>полковник</w:t>
      </w:r>
      <w:r>
        <w:tab/>
        <w:t>Марк АНДРУСЯК</w:t>
      </w:r>
    </w:p>
    <w:sectPr w:rsidR="005D0390" w:rsidSect="008C38C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876B" w14:textId="77777777" w:rsidR="00B05EAD" w:rsidRDefault="00B05EAD">
      <w:pPr>
        <w:spacing w:after="0" w:line="240" w:lineRule="auto"/>
      </w:pPr>
      <w:r>
        <w:separator/>
      </w:r>
    </w:p>
  </w:endnote>
  <w:endnote w:type="continuationSeparator" w:id="0">
    <w:p w14:paraId="3F37DCE2" w14:textId="77777777" w:rsidR="00B05EAD" w:rsidRDefault="00B0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96A1" w14:textId="77777777" w:rsidR="00B05EAD" w:rsidRDefault="00B05EAD">
      <w:pPr>
        <w:spacing w:after="0" w:line="240" w:lineRule="auto"/>
      </w:pPr>
      <w:r>
        <w:separator/>
      </w:r>
    </w:p>
  </w:footnote>
  <w:footnote w:type="continuationSeparator" w:id="0">
    <w:p w14:paraId="3BDBF5E6" w14:textId="77777777" w:rsidR="00B05EAD" w:rsidRDefault="00B0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839439"/>
      <w:docPartObj>
        <w:docPartGallery w:val="Page Numbers (Top of Page)"/>
        <w:docPartUnique/>
      </w:docPartObj>
    </w:sdtPr>
    <w:sdtContent>
      <w:p w14:paraId="1EEEF59B" w14:textId="4C75203A" w:rsidR="00096196" w:rsidRDefault="00AB52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A44DE" w14:textId="77777777" w:rsidR="00096196" w:rsidRPr="00951B3F" w:rsidRDefault="00096196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91459"/>
    <w:multiLevelType w:val="hybridMultilevel"/>
    <w:tmpl w:val="CFC2F5A8"/>
    <w:lvl w:ilvl="0" w:tplc="F78EC18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077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B7"/>
    <w:rsid w:val="000063E6"/>
    <w:rsid w:val="00011E05"/>
    <w:rsid w:val="00031F3A"/>
    <w:rsid w:val="00053460"/>
    <w:rsid w:val="00061350"/>
    <w:rsid w:val="000860F1"/>
    <w:rsid w:val="00096196"/>
    <w:rsid w:val="000A0196"/>
    <w:rsid w:val="000B056D"/>
    <w:rsid w:val="000C2402"/>
    <w:rsid w:val="000C39A7"/>
    <w:rsid w:val="000D1BFB"/>
    <w:rsid w:val="000D787B"/>
    <w:rsid w:val="000E325C"/>
    <w:rsid w:val="000E4E11"/>
    <w:rsid w:val="00102D1E"/>
    <w:rsid w:val="00111FD9"/>
    <w:rsid w:val="00114A0A"/>
    <w:rsid w:val="00122D74"/>
    <w:rsid w:val="001249E1"/>
    <w:rsid w:val="001829A4"/>
    <w:rsid w:val="00183149"/>
    <w:rsid w:val="00186151"/>
    <w:rsid w:val="001A14B7"/>
    <w:rsid w:val="001B00AB"/>
    <w:rsid w:val="001B04E0"/>
    <w:rsid w:val="001F1545"/>
    <w:rsid w:val="00211DFD"/>
    <w:rsid w:val="00221AC6"/>
    <w:rsid w:val="0022669C"/>
    <w:rsid w:val="00226E46"/>
    <w:rsid w:val="00292537"/>
    <w:rsid w:val="002A1141"/>
    <w:rsid w:val="002A7FFC"/>
    <w:rsid w:val="002B4863"/>
    <w:rsid w:val="002C1CEE"/>
    <w:rsid w:val="002C2BCC"/>
    <w:rsid w:val="002F135B"/>
    <w:rsid w:val="00306E61"/>
    <w:rsid w:val="00307AAE"/>
    <w:rsid w:val="00340732"/>
    <w:rsid w:val="00354F38"/>
    <w:rsid w:val="00356E52"/>
    <w:rsid w:val="003600AA"/>
    <w:rsid w:val="00367640"/>
    <w:rsid w:val="00374DB1"/>
    <w:rsid w:val="003A396F"/>
    <w:rsid w:val="003A791C"/>
    <w:rsid w:val="003B3902"/>
    <w:rsid w:val="003B51F4"/>
    <w:rsid w:val="003D0F36"/>
    <w:rsid w:val="003F53B7"/>
    <w:rsid w:val="004001BE"/>
    <w:rsid w:val="00402160"/>
    <w:rsid w:val="004021F7"/>
    <w:rsid w:val="004261CC"/>
    <w:rsid w:val="00435D5F"/>
    <w:rsid w:val="004427E1"/>
    <w:rsid w:val="00443B3E"/>
    <w:rsid w:val="00457639"/>
    <w:rsid w:val="0046512B"/>
    <w:rsid w:val="004677D6"/>
    <w:rsid w:val="00492CA8"/>
    <w:rsid w:val="00496702"/>
    <w:rsid w:val="004A273D"/>
    <w:rsid w:val="004A2900"/>
    <w:rsid w:val="004A7DDF"/>
    <w:rsid w:val="004C1ACB"/>
    <w:rsid w:val="004D03BD"/>
    <w:rsid w:val="004D0708"/>
    <w:rsid w:val="004D2D1E"/>
    <w:rsid w:val="004D6B39"/>
    <w:rsid w:val="00534BFB"/>
    <w:rsid w:val="00540015"/>
    <w:rsid w:val="005432B6"/>
    <w:rsid w:val="0056683A"/>
    <w:rsid w:val="00567295"/>
    <w:rsid w:val="00573B2B"/>
    <w:rsid w:val="005803B8"/>
    <w:rsid w:val="00580B19"/>
    <w:rsid w:val="005933AD"/>
    <w:rsid w:val="005A083A"/>
    <w:rsid w:val="005A47F2"/>
    <w:rsid w:val="005A61EC"/>
    <w:rsid w:val="005D02B4"/>
    <w:rsid w:val="005D0390"/>
    <w:rsid w:val="005E1F6B"/>
    <w:rsid w:val="005E7C1E"/>
    <w:rsid w:val="005F0434"/>
    <w:rsid w:val="005F218F"/>
    <w:rsid w:val="005F5316"/>
    <w:rsid w:val="00614E24"/>
    <w:rsid w:val="006426E7"/>
    <w:rsid w:val="006445C6"/>
    <w:rsid w:val="006645D8"/>
    <w:rsid w:val="00685929"/>
    <w:rsid w:val="006C7575"/>
    <w:rsid w:val="006C764F"/>
    <w:rsid w:val="006E09EE"/>
    <w:rsid w:val="006E5020"/>
    <w:rsid w:val="006E6BE4"/>
    <w:rsid w:val="006F2D18"/>
    <w:rsid w:val="00706351"/>
    <w:rsid w:val="00710E3C"/>
    <w:rsid w:val="00711DEB"/>
    <w:rsid w:val="0073672D"/>
    <w:rsid w:val="00747358"/>
    <w:rsid w:val="00776B6C"/>
    <w:rsid w:val="00793504"/>
    <w:rsid w:val="00797FF0"/>
    <w:rsid w:val="007A417D"/>
    <w:rsid w:val="007A5CBB"/>
    <w:rsid w:val="007B62BC"/>
    <w:rsid w:val="007D7CD7"/>
    <w:rsid w:val="007F106C"/>
    <w:rsid w:val="00814018"/>
    <w:rsid w:val="00815D70"/>
    <w:rsid w:val="008357C3"/>
    <w:rsid w:val="00853140"/>
    <w:rsid w:val="00862BCA"/>
    <w:rsid w:val="0087010B"/>
    <w:rsid w:val="00893470"/>
    <w:rsid w:val="00893C17"/>
    <w:rsid w:val="0089402C"/>
    <w:rsid w:val="008977BB"/>
    <w:rsid w:val="00897C3C"/>
    <w:rsid w:val="008C38C6"/>
    <w:rsid w:val="008C5338"/>
    <w:rsid w:val="008C7CAB"/>
    <w:rsid w:val="008D02E3"/>
    <w:rsid w:val="008D3ABA"/>
    <w:rsid w:val="008E62C0"/>
    <w:rsid w:val="008E7986"/>
    <w:rsid w:val="008F3761"/>
    <w:rsid w:val="008F6F5E"/>
    <w:rsid w:val="00951B3F"/>
    <w:rsid w:val="00957AE0"/>
    <w:rsid w:val="00983CBF"/>
    <w:rsid w:val="0098788F"/>
    <w:rsid w:val="009A3E66"/>
    <w:rsid w:val="009A3FEE"/>
    <w:rsid w:val="009C114A"/>
    <w:rsid w:val="009C1D19"/>
    <w:rsid w:val="009D3C85"/>
    <w:rsid w:val="009E5FF6"/>
    <w:rsid w:val="009F21F9"/>
    <w:rsid w:val="00A00A49"/>
    <w:rsid w:val="00A203A2"/>
    <w:rsid w:val="00A37BFE"/>
    <w:rsid w:val="00A61905"/>
    <w:rsid w:val="00A64FA2"/>
    <w:rsid w:val="00A66422"/>
    <w:rsid w:val="00A8520E"/>
    <w:rsid w:val="00A9366C"/>
    <w:rsid w:val="00AB524D"/>
    <w:rsid w:val="00AC4495"/>
    <w:rsid w:val="00AC73C2"/>
    <w:rsid w:val="00AE6E97"/>
    <w:rsid w:val="00AE7844"/>
    <w:rsid w:val="00AF6959"/>
    <w:rsid w:val="00AF7FB4"/>
    <w:rsid w:val="00B0587E"/>
    <w:rsid w:val="00B05EAD"/>
    <w:rsid w:val="00B07B5D"/>
    <w:rsid w:val="00B157AD"/>
    <w:rsid w:val="00B1777F"/>
    <w:rsid w:val="00B22541"/>
    <w:rsid w:val="00B30107"/>
    <w:rsid w:val="00B43F7B"/>
    <w:rsid w:val="00B61C43"/>
    <w:rsid w:val="00B76F01"/>
    <w:rsid w:val="00B76F11"/>
    <w:rsid w:val="00B81D2E"/>
    <w:rsid w:val="00B901AF"/>
    <w:rsid w:val="00B914C5"/>
    <w:rsid w:val="00BA1B57"/>
    <w:rsid w:val="00BA69D1"/>
    <w:rsid w:val="00BA7D82"/>
    <w:rsid w:val="00BE51CD"/>
    <w:rsid w:val="00BF0F5F"/>
    <w:rsid w:val="00C034B1"/>
    <w:rsid w:val="00C05B3F"/>
    <w:rsid w:val="00C2394E"/>
    <w:rsid w:val="00C33FDF"/>
    <w:rsid w:val="00C41E0B"/>
    <w:rsid w:val="00C426F4"/>
    <w:rsid w:val="00C55392"/>
    <w:rsid w:val="00C60D08"/>
    <w:rsid w:val="00C6673E"/>
    <w:rsid w:val="00C70684"/>
    <w:rsid w:val="00C72657"/>
    <w:rsid w:val="00CB20F9"/>
    <w:rsid w:val="00CC4DC8"/>
    <w:rsid w:val="00CE405B"/>
    <w:rsid w:val="00CE4A28"/>
    <w:rsid w:val="00D12030"/>
    <w:rsid w:val="00D14DB9"/>
    <w:rsid w:val="00D208C5"/>
    <w:rsid w:val="00D21BA8"/>
    <w:rsid w:val="00D36019"/>
    <w:rsid w:val="00D42222"/>
    <w:rsid w:val="00D42A04"/>
    <w:rsid w:val="00D67DC1"/>
    <w:rsid w:val="00D737B2"/>
    <w:rsid w:val="00D73EE2"/>
    <w:rsid w:val="00D96B5A"/>
    <w:rsid w:val="00DA2397"/>
    <w:rsid w:val="00DA6531"/>
    <w:rsid w:val="00DB3076"/>
    <w:rsid w:val="00DB3077"/>
    <w:rsid w:val="00DE4F85"/>
    <w:rsid w:val="00E0066E"/>
    <w:rsid w:val="00E04E20"/>
    <w:rsid w:val="00E20BB3"/>
    <w:rsid w:val="00E352E0"/>
    <w:rsid w:val="00E44850"/>
    <w:rsid w:val="00E5439F"/>
    <w:rsid w:val="00E635ED"/>
    <w:rsid w:val="00E737FA"/>
    <w:rsid w:val="00E7608A"/>
    <w:rsid w:val="00E813A4"/>
    <w:rsid w:val="00E850C5"/>
    <w:rsid w:val="00E91EB4"/>
    <w:rsid w:val="00E9370D"/>
    <w:rsid w:val="00EA0A0F"/>
    <w:rsid w:val="00EA3B2B"/>
    <w:rsid w:val="00EB0B39"/>
    <w:rsid w:val="00EB193A"/>
    <w:rsid w:val="00EC39EA"/>
    <w:rsid w:val="00ED29E7"/>
    <w:rsid w:val="00EF11E5"/>
    <w:rsid w:val="00F21D81"/>
    <w:rsid w:val="00F235E5"/>
    <w:rsid w:val="00F24FDE"/>
    <w:rsid w:val="00F313C0"/>
    <w:rsid w:val="00F373B3"/>
    <w:rsid w:val="00F43018"/>
    <w:rsid w:val="00F7387B"/>
    <w:rsid w:val="00F7440E"/>
    <w:rsid w:val="00F83443"/>
    <w:rsid w:val="00FB490E"/>
    <w:rsid w:val="00FB6366"/>
    <w:rsid w:val="00FC23CE"/>
    <w:rsid w:val="00FE5737"/>
    <w:rsid w:val="00FE5DA0"/>
    <w:rsid w:val="00FE6AB8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EDDA"/>
  <w15:chartTrackingRefBased/>
  <w15:docId w15:val="{3C70EB93-53D4-4458-81F1-727BD496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D74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1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96196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961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96196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9C1D19"/>
    <w:pPr>
      <w:ind w:left="720"/>
      <w:contextualSpacing/>
    </w:pPr>
  </w:style>
  <w:style w:type="character" w:styleId="a8">
    <w:name w:val="Emphasis"/>
    <w:basedOn w:val="a0"/>
    <w:uiPriority w:val="20"/>
    <w:qFormat/>
    <w:rsid w:val="00FB636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A3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3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E37E-B526-4F8A-95CB-0B40C228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4782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Людмила</dc:creator>
  <cp:lastModifiedBy>Іван Барна</cp:lastModifiedBy>
  <cp:revision>10</cp:revision>
  <cp:lastPrinted>2025-08-11T13:02:00Z</cp:lastPrinted>
  <dcterms:created xsi:type="dcterms:W3CDTF">2025-12-15T14:15:00Z</dcterms:created>
  <dcterms:modified xsi:type="dcterms:W3CDTF">2026-01-04T11:49:00Z</dcterms:modified>
</cp:coreProperties>
</file>