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Щодо звітування стосовно п. 2.6.5.2.2. "Щорічне проведення публічного обговорення антикорупційних заходів у секторі оборони за участю громадськості" ДАП</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В рамках підготовки до щорічного публічного громадського обговорення антикорупційних заходів у секторі оборони 19.07.2023 проведено пресконференцію «Як реалізувати антикорупційну політику в секторі оборони під час війни?» за участі Голови НАЗК Олександра Новікова, Міністра оборони України Олексія Резнікова, Міністра з питань стратегічних галузей промисловості Олександра Камишіна, представників НАКО, Міністерства оборони України, АТ "Українська оборонна промисловість", НАЗК, громадськості, ЗМІ. Обговорено заходи Державної антикорупційної програми в секторі безпеки і оборони.</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Наказом НАЗК створено Координаційно-моніторингову групу з питань забезпечення належної реалізації Антикорупційної стратегії на 2023-2025 роки та Державної антикорупційної програми з її виконання, до складу якої включено представників органів безпеки та оборони – впроваджувачів заходів ДАП, а також за згодою – представників громадськості та незалежних експертів. У жовтні 2023 року проведено 6 тематичних обговорень стану реалізації ДАП у секторі оборони, за результатами яких сформовано пропозиції щодо внесення змін до ДАП з метою досягнення очікуваних стратегічних результатів, визначених Антикорупційною стратегією на 2023-2025 роки.</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У грудні 2023 року за участі представників органів сектору безпеки та оборони і незалежних експертів обговорено стан впровадження рекомендацій НАЗК, наданих за результатами досліджень щодо подолання ТОП-15 корупційних ризиків у діяльності АТ «Українська оборонна промисловість» та ТОП-10 корупційних ризиків у забезпеченні військовослужбовців житлом. За підсумками моніторингу і консультацій підготовлено оновлені рекомендації задля подолання корупційних ризиків у зазначених сферах.</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У березні 2024 року НАЗК організовано та проведено тематичне обговорення стану впровадження системи державного гарантування якості (проблема 2.6.3 "Неефективна модель контролю продукції оборонного призначення у процесі виробництва не дає змоги вчасно та у повному обсязі запобігати постачанню бракованих зразків озброєння та військової техніки" додатка 2 до ДАП). У цьому заході під головуванням заступника Голови НАЗК Я. П. Любченка взяли участь заступник Міністра оборони України І. Ю. Гаврилюк, керівництво Департаменту державного гарантування якості Міноборони, представники Департаменту з питань запобігання та виявлення корупції Міноборони, Громадської антикорупційної ради Міноборони та Проєкту оборонних закупівель.</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color w:val="212529"/>
          <w:sz w:val="28"/>
          <w:szCs w:val="28"/>
        </w:rPr>
      </w:pPr>
      <w:r w:rsidDel="00000000" w:rsidR="00000000" w:rsidRPr="00000000">
        <w:rPr>
          <w:rFonts w:ascii="Times New Roman" w:cs="Times New Roman" w:eastAsia="Times New Roman" w:hAnsi="Times New Roman"/>
          <w:sz w:val="28"/>
          <w:szCs w:val="28"/>
          <w:rtl w:val="0"/>
        </w:rPr>
        <w:t xml:space="preserve">5. 20.03.2024 проведено робочу зустріч з ГО "StateWatch", на якій досягнуто домовленості про спільне щоквартальне публічне обговорення результатів виконання заходів ДАП у секторі оборони. 18.06.2024 проведено публічне громадське обговорення стану виконання у секторі оборони заходів ДАП за період з березня 2023 року по березень 2024 року. У заході взяли участь представники НАЗК, органів сектору безпеки та оборони, а також 10 громадських організацій. Представлено результати моніторингу реалізації у секторі оборони заходів ДАП (згідно з ІСМ ДАП) та альтернативного громадського моніторингу, проведеного ГО "StateWatch", результати якого у вигляді Моніторингового звіту опубліковано на сайті цієї організації.</w:t>
      </w: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color w:val="212529"/>
          <w:sz w:val="28"/>
          <w:szCs w:val="28"/>
        </w:rPr>
      </w:pPr>
      <w:r w:rsidDel="00000000" w:rsidR="00000000" w:rsidRPr="00000000">
        <w:rPr>
          <w:rtl w:val="0"/>
        </w:rPr>
      </w:r>
    </w:p>
    <w:p w:rsidR="00000000" w:rsidDel="00000000" w:rsidP="00000000" w:rsidRDefault="00000000" w:rsidRPr="00000000" w14:paraId="0000000D">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 19.07.2024 Національним агентством з питань запобігання корупції було організовано круглий стіл щодо шляхів забезпечення гарантій захисту та прав викривачів з числа військовослужбовців (зокрема, на досягнення очікуваного результату </w:t>
      </w:r>
      <w:r w:rsidDel="00000000" w:rsidR="00000000" w:rsidRPr="00000000">
        <w:rPr>
          <w:rFonts w:ascii="Times New Roman" w:cs="Times New Roman" w:eastAsia="Times New Roman" w:hAnsi="Times New Roman"/>
          <w:sz w:val="28"/>
          <w:szCs w:val="28"/>
          <w:rtl w:val="0"/>
        </w:rPr>
        <w:t xml:space="preserve">1.6.3.4</w:t>
      </w:r>
      <w:r w:rsidDel="00000000" w:rsidR="00000000" w:rsidRPr="00000000">
        <w:rPr>
          <w:rFonts w:ascii="Times New Roman" w:cs="Times New Roman" w:eastAsia="Times New Roman" w:hAnsi="Times New Roman"/>
          <w:sz w:val="28"/>
          <w:szCs w:val="28"/>
          <w:rtl w:val="0"/>
        </w:rPr>
        <w:t xml:space="preserve">). Представники Національного агентства, Міністерства оборони України, державного підприємства “Державний оператор тилу”, Міністерства внутрішніх справ та підпорядкованих йому структур, Служби безпеки України, а також експерти громадських організацій узагальнили виклики для викривання корупції військовослужбовцями та виокремили напрями розвитку цього інституту, зокрема, обговорили необхідність внесення змін до проекту Закону України «Про внесення змін до Дисциплінарного статуту Збройних Сил України щодо забезпечення гарантій захисту та прав військовослужбовців, які повідомили про можливі факти корупційних або пов’язаних з корупцією правопорушень, інших порушень Закону України «Про запобігання корупції». Після доопрацювання Міністерством оборони та врахування зауважень і пропозицій Національного агентства, вказаний законопроект було внесено на розгляд Верховної Ради України</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tl w:val="0"/>
        </w:rPr>
      </w:r>
    </w:p>
    <w:p w:rsidR="00000000" w:rsidDel="00000000" w:rsidP="00000000" w:rsidRDefault="00000000" w:rsidRPr="00000000" w14:paraId="0000000E">
      <w:pPr>
        <w:spacing w:line="240" w:lineRule="auto"/>
        <w:ind w:firstLine="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F">
      <w:pPr>
        <w:spacing w:line="240"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 14.11.2024 НАЗК було проведено презентацію дослідження “Корупційні ризики під час здійснення централізованих тилових закупівель для ЗСУ”, метою якого було об’єднання зусилля стейкхолдерів для вдосконалення системи оборонних закупівель та сприяння імплементації рекомендацій, наданих за результатами Стратегічного огляду системи оборонних закупівель України. </w:t>
      </w:r>
    </w:p>
    <w:p w:rsidR="00000000" w:rsidDel="00000000" w:rsidP="00000000" w:rsidRDefault="00000000" w:rsidRPr="00000000" w14:paraId="00000010">
      <w:pPr>
        <w:spacing w:line="240"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ході презентації було обговорено основні досягнення та виклики під час здійснення оборонних закупівель, а також шляхи їх вирішення. В обговоренні взяли участь представники НАТО, Міноборони Норвегії, Посольства Латвії, в.о. Спеціального радника з питань оборони Великої Британії, Міноборони, державних підприємств Міноборони “Державний оператор тилу” та “Агенція оборонних закупівель”, Офісу підтримки змін Міноборони, Громадської антикорупційної ради Міноборони, а також представники інших органів сектору безпеки та оборони, громадських та міжнародних організацій, зокрема, таких як громадська організація “StateWatch”, Проект реформи оборонних закупівель, Центр з питань доброчесності в оборонному секторі (CIDS) при Міністерстві оборони Норвегії та інші.</w:t>
      </w:r>
    </w:p>
    <w:p w:rsidR="00000000" w:rsidDel="00000000" w:rsidP="00000000" w:rsidRDefault="00000000" w:rsidRPr="00000000" w14:paraId="00000011">
      <w:pPr>
        <w:spacing w:line="240" w:lineRule="auto"/>
        <w:ind w:firstLine="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2">
      <w:pPr>
        <w:spacing w:line="240"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 04.04.2025 НАЗК було проведено презентацію Плану імплементації рекомендацій щодо мінімізації корупційних ризиків під час здійснення централізованих тилових закупівель для Збройних Сил України. Вказаний План було розроблено НАЗК спільно з Міністерством оборони України та ДП «Державний оператор тилу». Він містить перелік заходів для впровадження рекомендацій НАЗК, описаних у відповідному </w:t>
      </w:r>
      <w:hyperlink r:id="rId6">
        <w:r w:rsidDel="00000000" w:rsidR="00000000" w:rsidRPr="00000000">
          <w:rPr>
            <w:rFonts w:ascii="Times New Roman" w:cs="Times New Roman" w:eastAsia="Times New Roman" w:hAnsi="Times New Roman"/>
            <w:sz w:val="28"/>
            <w:szCs w:val="28"/>
            <w:rtl w:val="0"/>
          </w:rPr>
          <w:t xml:space="preserve">дослідженні</w:t>
        </w:r>
      </w:hyperlink>
      <w:r w:rsidDel="00000000" w:rsidR="00000000" w:rsidRPr="00000000">
        <w:rPr>
          <w:rFonts w:ascii="Times New Roman" w:cs="Times New Roman" w:eastAsia="Times New Roman" w:hAnsi="Times New Roman"/>
          <w:sz w:val="28"/>
          <w:szCs w:val="28"/>
          <w:rtl w:val="0"/>
        </w:rPr>
        <w:t xml:space="preserve">, включаючи рекомендації НАТО. </w:t>
      </w:r>
    </w:p>
    <w:p w:rsidR="00000000" w:rsidDel="00000000" w:rsidP="00000000" w:rsidRDefault="00000000" w:rsidRPr="00000000" w14:paraId="00000013">
      <w:pPr>
        <w:spacing w:line="240"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Зважаючи на те, що роль НАЗК полягає не лише у наданні рекомендацій щодо усунення корупційних ризиків, а й у всебічному сприянні в їх імплементації, основною метою вказаного заходу було отримання зворотного зв’язку та пропозицій щодо сприяння у виконанні розроблених заходів від міжнародних партнерів та громадських організацій. В обговоренні взяли участь представники державних органів, громадських організацій та міжнародні партнери.</w:t>
      </w:r>
    </w:p>
    <w:p w:rsidR="00000000" w:rsidDel="00000000" w:rsidP="00000000" w:rsidRDefault="00000000" w:rsidRPr="00000000" w14:paraId="00000014">
      <w:pPr>
        <w:spacing w:line="240" w:lineRule="auto"/>
        <w:ind w:firstLine="20"/>
        <w:jc w:val="both"/>
        <w:rPr>
          <w:rFonts w:ascii="Times New Roman" w:cs="Times New Roman" w:eastAsia="Times New Roman" w:hAnsi="Times New Roman"/>
          <w:sz w:val="28"/>
          <w:szCs w:val="28"/>
          <w:highlight w:val="yellow"/>
        </w:rPr>
      </w:pPr>
      <w:r w:rsidDel="00000000" w:rsidR="00000000" w:rsidRPr="00000000">
        <w:rPr>
          <w:rtl w:val="0"/>
        </w:rPr>
      </w:r>
    </w:p>
    <w:p w:rsidR="00000000" w:rsidDel="00000000" w:rsidP="00000000" w:rsidRDefault="00000000" w:rsidRPr="00000000" w14:paraId="00000015">
      <w:pPr>
        <w:spacing w:line="240"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 22.05.2025 НАЗК провело захід з метою узгодження проєкту уніфікованого плану заходів на виконання завдань, передбачених Ціллю взаємосумісності 0204 «Розбудова доброчесності» (Integrity Development) Початкових вимог НАТО до взаємосумісності для України, де спільно з представниками державних органів, залучених до виконання завдань, визначених Ціллю взаємосумісності 0204 та, зокрема, представниками Представництва НАТО в України, було обговорено розроблені заходи, спрямовані на виконання завдань, ключові показники ефективності та визначених співвиконавців відповідних заходів. Узгоджений план заходів є спільною роботою всіх залучених сторін, адже НАЗК зібрало від 21 державного органу пропозиції щодо заходів, що сприятимуть послідовному та ефективному виконанню рекомендацій НАТО та досягненню взаємосумісності. Новина за посиланням </w:t>
      </w:r>
      <w:hyperlink r:id="rId7">
        <w:r w:rsidDel="00000000" w:rsidR="00000000" w:rsidRPr="00000000">
          <w:rPr>
            <w:rFonts w:ascii="Times New Roman" w:cs="Times New Roman" w:eastAsia="Times New Roman" w:hAnsi="Times New Roman"/>
            <w:color w:val="1155cc"/>
            <w:sz w:val="28"/>
            <w:szCs w:val="28"/>
            <w:u w:val="single"/>
            <w:rtl w:val="0"/>
          </w:rPr>
          <w:t xml:space="preserve">https://nazk.gov.ua/uk/nazk-predstavylo-unifikovanyy-plan-diy-dlya-vykonannya-rekomendatsiy-nato-schodo-dobrochesnosti-v-sektori-bezpeky-ta-oborony/</w:t>
        </w:r>
      </w:hyperlink>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16">
      <w:pPr>
        <w:pStyle w:val="Heading2"/>
        <w:keepNext w:val="0"/>
        <w:keepLines w:val="0"/>
        <w:pBdr>
          <w:left w:color="auto" w:space="26" w:sz="0" w:val="none"/>
        </w:pBdr>
        <w:shd w:fill="ffffff" w:val="clear"/>
        <w:spacing w:after="0" w:before="200" w:line="240" w:lineRule="auto"/>
        <w:jc w:val="both"/>
        <w:rPr>
          <w:rFonts w:ascii="Times New Roman" w:cs="Times New Roman" w:eastAsia="Times New Roman" w:hAnsi="Times New Roman"/>
          <w:sz w:val="28"/>
          <w:szCs w:val="28"/>
        </w:rPr>
      </w:pPr>
      <w:bookmarkStart w:colFirst="0" w:colLast="0" w:name="_9gyuqxmag3b6" w:id="0"/>
      <w:bookmarkEnd w:id="0"/>
      <w:r w:rsidDel="00000000" w:rsidR="00000000" w:rsidRPr="00000000">
        <w:rPr>
          <w:rFonts w:ascii="Times New Roman" w:cs="Times New Roman" w:eastAsia="Times New Roman" w:hAnsi="Times New Roman"/>
          <w:sz w:val="28"/>
          <w:szCs w:val="28"/>
          <w:rtl w:val="0"/>
        </w:rPr>
        <w:t xml:space="preserve">10. 02.07.2025 відбувся захід, присвячений прогресу впровадження механізмів прозорості, доброчесності та підзвітності в діяльності ДП Міноборони “ДОТ” і “АОЗ” на виконання рекомендацій </w:t>
      </w:r>
      <w:hyperlink r:id="rId8">
        <w:r w:rsidDel="00000000" w:rsidR="00000000" w:rsidRPr="00000000">
          <w:rPr>
            <w:rFonts w:ascii="Times New Roman" w:cs="Times New Roman" w:eastAsia="Times New Roman" w:hAnsi="Times New Roman"/>
            <w:sz w:val="28"/>
            <w:szCs w:val="28"/>
            <w:rtl w:val="0"/>
          </w:rPr>
          <w:t xml:space="preserve">Стратегічного огляду</w:t>
        </w:r>
      </w:hyperlink>
      <w:r w:rsidDel="00000000" w:rsidR="00000000" w:rsidRPr="00000000">
        <w:rPr>
          <w:rFonts w:ascii="Times New Roman" w:cs="Times New Roman" w:eastAsia="Times New Roman" w:hAnsi="Times New Roman"/>
          <w:sz w:val="28"/>
          <w:szCs w:val="28"/>
          <w:rtl w:val="0"/>
        </w:rPr>
        <w:t xml:space="preserve"> системи оборонних закупівель України. Презентація організована спільно НАЗК з ДП Міноборони “АОЗ” та “ДОТ” та за підтримки Представництва НАТО в Україні. </w:t>
      </w:r>
      <w:hyperlink r:id="rId9">
        <w:r w:rsidDel="00000000" w:rsidR="00000000" w:rsidRPr="00000000">
          <w:rPr>
            <w:rFonts w:ascii="Times New Roman" w:cs="Times New Roman" w:eastAsia="Times New Roman" w:hAnsi="Times New Roman"/>
            <w:sz w:val="28"/>
            <w:szCs w:val="28"/>
            <w:rtl w:val="0"/>
          </w:rPr>
          <w:t xml:space="preserve">Нагадаємо</w:t>
        </w:r>
      </w:hyperlink>
      <w:r w:rsidDel="00000000" w:rsidR="00000000" w:rsidRPr="00000000">
        <w:rPr>
          <w:rFonts w:ascii="Times New Roman" w:cs="Times New Roman" w:eastAsia="Times New Roman" w:hAnsi="Times New Roman"/>
          <w:sz w:val="28"/>
          <w:szCs w:val="28"/>
          <w:rtl w:val="0"/>
        </w:rPr>
        <w:t xml:space="preserve">, що НАЗК спільно з представниками інших державних органів, Верховної Ради України та експертами НАТО брало активну участь в розробці даних рекомендацій. Новина за посиланням </w:t>
      </w:r>
      <w:hyperlink r:id="rId10">
        <w:r w:rsidDel="00000000" w:rsidR="00000000" w:rsidRPr="00000000">
          <w:rPr>
            <w:rFonts w:ascii="Times New Roman" w:cs="Times New Roman" w:eastAsia="Times New Roman" w:hAnsi="Times New Roman"/>
            <w:color w:val="1155cc"/>
            <w:sz w:val="28"/>
            <w:szCs w:val="28"/>
            <w:u w:val="single"/>
            <w:rtl w:val="0"/>
          </w:rPr>
          <w:t xml:space="preserve">https://nazk.gov.ua/uk/nazk-aoz-i-dot-prezentuvaly-progres-vprovadzhennya-mehanizmiv-prozorosti-dobrochesnosti-ta-pidzvitnosti-v-oboronnyh-zakupivlyah/</w:t>
        </w:r>
      </w:hyperlink>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17">
      <w:pPr>
        <w:spacing w:line="240" w:lineRule="auto"/>
        <w:ind w:left="0" w:right="-40.8661417322827"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8">
      <w:pPr>
        <w:keepNext w:val="0"/>
        <w:keepLines w:val="0"/>
        <w:pBdr>
          <w:left w:color="auto" w:space="26" w:sz="0" w:val="none"/>
        </w:pBdr>
        <w:shd w:fill="ffffff" w:val="clear"/>
        <w:spacing w:after="220" w:before="0" w:line="240" w:lineRule="auto"/>
        <w:ind w:right="-40.8661417322827"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 </w:t>
      </w:r>
      <w:r w:rsidDel="00000000" w:rsidR="00000000" w:rsidRPr="00000000">
        <w:rPr>
          <w:rFonts w:ascii="Times New Roman" w:cs="Times New Roman" w:eastAsia="Times New Roman" w:hAnsi="Times New Roman"/>
          <w:sz w:val="28"/>
          <w:szCs w:val="28"/>
          <w:rtl w:val="0"/>
        </w:rPr>
        <w:t xml:space="preserve">31.10.2025 у стінах НАЗК відбулося установче засідання Координаційної групи з імплементації рекомендацій Стратегічного огляду системи оборонних закупівель України (далі – Координаційна група). Зазначене засідання Координаційної групи було проведено за участі представників органів державної влади (зокрема, сектору оборони), залучених до виконання рекомендацій Стратегічного огляду, а також міжнародних партнерів як Центр з питань доброчесності в оборонному секторі (CIDS) Міністерства оборони Норвегії та Представництво НАТО в Україні. </w:t>
      </w:r>
    </w:p>
    <w:p w:rsidR="00000000" w:rsidDel="00000000" w:rsidP="00000000" w:rsidRDefault="00000000" w:rsidRPr="00000000" w14:paraId="00000019">
      <w:pPr>
        <w:keepNext w:val="0"/>
        <w:keepLines w:val="0"/>
        <w:pBdr>
          <w:left w:color="auto" w:space="26" w:sz="0" w:val="none"/>
        </w:pBdr>
        <w:shd w:fill="ffffff" w:val="clear"/>
        <w:spacing w:after="220" w:before="0" w:line="240" w:lineRule="auto"/>
        <w:ind w:right="-40.8661417322827"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Зазначений захід спрямований на імплементацію рекомендацій Стратегічного огляду та, зокрема, сприятиме виконанню рекомендацій НАЗК щодо мінімізації корупційних ризиків у сфері оборонних закупівель. </w:t>
      </w:r>
      <w:r w:rsidDel="00000000" w:rsidR="00000000" w:rsidRPr="00000000">
        <w:rPr>
          <w:rFonts w:ascii="Times New Roman" w:cs="Times New Roman" w:eastAsia="Times New Roman" w:hAnsi="Times New Roman"/>
          <w:sz w:val="28"/>
          <w:szCs w:val="28"/>
          <w:rtl w:val="0"/>
        </w:rPr>
        <w:t xml:space="preserve">Новина за посиланням: </w:t>
      </w:r>
      <w:hyperlink r:id="rId11">
        <w:r w:rsidDel="00000000" w:rsidR="00000000" w:rsidRPr="00000000">
          <w:rPr>
            <w:rFonts w:ascii="Times New Roman" w:cs="Times New Roman" w:eastAsia="Times New Roman" w:hAnsi="Times New Roman"/>
            <w:color w:val="1155cc"/>
            <w:sz w:val="28"/>
            <w:szCs w:val="28"/>
            <w:u w:val="single"/>
            <w:rtl w:val="0"/>
          </w:rPr>
          <w:t xml:space="preserve">https://nazk.gov.ua/uk/novyny/nazk-spryyae-vprovadzhennyu-edynyh-pidhodiv-do-realizatsii-rekomendatsiy-nato-u-sferi-oboronnyh-zakupivel/</w:t>
        </w:r>
      </w:hyperlink>
      <w:r w:rsidDel="00000000" w:rsidR="00000000" w:rsidRPr="00000000">
        <w:rPr>
          <w:rFonts w:ascii="Times New Roman" w:cs="Times New Roman" w:eastAsia="Times New Roman" w:hAnsi="Times New Roman"/>
          <w:sz w:val="28"/>
          <w:szCs w:val="28"/>
          <w:rtl w:val="0"/>
        </w:rPr>
        <w:t xml:space="preserve"> . </w:t>
      </w:r>
    </w:p>
    <w:p w:rsidR="00000000" w:rsidDel="00000000" w:rsidP="00000000" w:rsidRDefault="00000000" w:rsidRPr="00000000" w14:paraId="0000001A">
      <w:pPr>
        <w:spacing w:line="240" w:lineRule="auto"/>
        <w:jc w:val="both"/>
        <w:rPr>
          <w:rFonts w:ascii="Times New Roman" w:cs="Times New Roman" w:eastAsia="Times New Roman" w:hAnsi="Times New Roman"/>
          <w:sz w:val="28"/>
          <w:szCs w:val="28"/>
          <w:highlight w:val="yellow"/>
        </w:rPr>
      </w:pPr>
      <w:r w:rsidDel="00000000" w:rsidR="00000000" w:rsidRPr="00000000">
        <w:rPr>
          <w:rtl w:val="0"/>
        </w:rPr>
      </w:r>
    </w:p>
    <w:p w:rsidR="00000000" w:rsidDel="00000000" w:rsidP="00000000" w:rsidRDefault="00000000" w:rsidRPr="00000000" w14:paraId="0000001B">
      <w:pPr>
        <w:pStyle w:val="Heading2"/>
        <w:keepNext w:val="0"/>
        <w:keepLines w:val="0"/>
        <w:pBdr>
          <w:left w:color="auto" w:space="26" w:sz="0" w:val="none"/>
        </w:pBdr>
        <w:shd w:fill="ffffff" w:val="clear"/>
        <w:spacing w:after="220" w:before="0" w:line="240" w:lineRule="auto"/>
        <w:ind w:firstLine="20"/>
        <w:jc w:val="both"/>
        <w:rPr>
          <w:rFonts w:ascii="Times New Roman" w:cs="Times New Roman" w:eastAsia="Times New Roman" w:hAnsi="Times New Roman"/>
          <w:b w:val="1"/>
          <w:sz w:val="28"/>
          <w:szCs w:val="28"/>
        </w:rPr>
      </w:pPr>
      <w:bookmarkStart w:colFirst="0" w:colLast="0" w:name="_uxjea3dtxdxz" w:id="1"/>
      <w:bookmarkEnd w:id="1"/>
      <w:r w:rsidDel="00000000" w:rsidR="00000000" w:rsidRPr="00000000">
        <w:rPr>
          <w:rFonts w:ascii="Times New Roman" w:cs="Times New Roman" w:eastAsia="Times New Roman" w:hAnsi="Times New Roman"/>
          <w:b w:val="1"/>
          <w:sz w:val="28"/>
          <w:szCs w:val="28"/>
          <w:rtl w:val="0"/>
        </w:rPr>
        <w:t xml:space="preserve">Ключові джерела оцінки:</w:t>
      </w:r>
      <w:r w:rsidDel="00000000" w:rsidR="00000000" w:rsidRPr="00000000">
        <w:rPr>
          <w:rtl w:val="0"/>
        </w:rPr>
      </w:r>
    </w:p>
    <w:p w:rsidR="00000000" w:rsidDel="00000000" w:rsidP="00000000" w:rsidRDefault="00000000" w:rsidRPr="00000000" w14:paraId="0000001C">
      <w:pPr>
        <w:spacing w:line="240" w:lineRule="auto"/>
        <w:ind w:firstLine="20"/>
        <w:jc w:val="both"/>
        <w:rPr>
          <w:rFonts w:ascii="Times New Roman" w:cs="Times New Roman" w:eastAsia="Times New Roman" w:hAnsi="Times New Roman"/>
          <w:sz w:val="28"/>
          <w:szCs w:val="28"/>
        </w:rPr>
      </w:pPr>
      <w:hyperlink r:id="rId12">
        <w:r w:rsidDel="00000000" w:rsidR="00000000" w:rsidRPr="00000000">
          <w:rPr>
            <w:rFonts w:ascii="Times New Roman" w:cs="Times New Roman" w:eastAsia="Times New Roman" w:hAnsi="Times New Roman"/>
            <w:color w:val="1155cc"/>
            <w:sz w:val="28"/>
            <w:szCs w:val="28"/>
            <w:u w:val="single"/>
            <w:rtl w:val="0"/>
          </w:rPr>
          <w:t xml:space="preserve">https://nazk.gov.ua/uk/novyny/zakupivli/</w:t>
        </w:r>
      </w:hyperlink>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1D">
      <w:pPr>
        <w:spacing w:line="240" w:lineRule="auto"/>
        <w:ind w:firstLine="20"/>
        <w:jc w:val="both"/>
        <w:rPr>
          <w:rFonts w:ascii="Times New Roman" w:cs="Times New Roman" w:eastAsia="Times New Roman" w:hAnsi="Times New Roman"/>
          <w:sz w:val="28"/>
          <w:szCs w:val="28"/>
        </w:rPr>
      </w:pPr>
      <w:hyperlink r:id="rId13">
        <w:r w:rsidDel="00000000" w:rsidR="00000000" w:rsidRPr="00000000">
          <w:rPr>
            <w:rFonts w:ascii="Times New Roman" w:cs="Times New Roman" w:eastAsia="Times New Roman" w:hAnsi="Times New Roman"/>
            <w:color w:val="1155cc"/>
            <w:sz w:val="28"/>
            <w:szCs w:val="28"/>
            <w:u w:val="single"/>
            <w:rtl w:val="0"/>
          </w:rPr>
          <w:t xml:space="preserve">https://nazk.gov.ua/pdfjs/?file=/wp-content/uploads/Pages/75/86/75864b28ba53e97ab6be0a8447d58f6a4a7897b1e24a219d36a9b821fd8443314096827.pdf</w:t>
        </w:r>
      </w:hyperlink>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1E">
      <w:pPr>
        <w:spacing w:line="240" w:lineRule="auto"/>
        <w:ind w:firstLine="20"/>
        <w:jc w:val="both"/>
        <w:rPr>
          <w:rFonts w:ascii="Times New Roman" w:cs="Times New Roman" w:eastAsia="Times New Roman" w:hAnsi="Times New Roman"/>
          <w:sz w:val="28"/>
          <w:szCs w:val="28"/>
        </w:rPr>
      </w:pPr>
      <w:hyperlink r:id="rId14">
        <w:r w:rsidDel="00000000" w:rsidR="00000000" w:rsidRPr="00000000">
          <w:rPr>
            <w:rFonts w:ascii="Times New Roman" w:cs="Times New Roman" w:eastAsia="Times New Roman" w:hAnsi="Times New Roman"/>
            <w:color w:val="1155cc"/>
            <w:sz w:val="28"/>
            <w:szCs w:val="28"/>
            <w:u w:val="single"/>
            <w:rtl w:val="0"/>
          </w:rPr>
          <w:t xml:space="preserve">https://nazk.gov.ua/pdfjs/?file=/wp-content/uploads/Pages/47/ce/47cefa0f209858c87a283d28fb809ffa56e4ee93ee3b2e729ae4f68484e4c8d94015769.pdf</w:t>
        </w:r>
      </w:hyperlink>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1F">
      <w:pPr>
        <w:spacing w:line="240" w:lineRule="auto"/>
        <w:ind w:firstLine="20"/>
        <w:jc w:val="both"/>
        <w:rPr>
          <w:rFonts w:ascii="Times New Roman" w:cs="Times New Roman" w:eastAsia="Times New Roman" w:hAnsi="Times New Roman"/>
          <w:sz w:val="28"/>
          <w:szCs w:val="28"/>
        </w:rPr>
      </w:pPr>
      <w:hyperlink r:id="rId15">
        <w:r w:rsidDel="00000000" w:rsidR="00000000" w:rsidRPr="00000000">
          <w:rPr>
            <w:rFonts w:ascii="Times New Roman" w:cs="Times New Roman" w:eastAsia="Times New Roman" w:hAnsi="Times New Roman"/>
            <w:color w:val="1155cc"/>
            <w:sz w:val="28"/>
            <w:szCs w:val="28"/>
            <w:u w:val="single"/>
            <w:rtl w:val="0"/>
          </w:rPr>
          <w:t xml:space="preserve">НАЗК представило план заходів для усунення корупційних ризиків в тилових закупівлях для ЗСУ</w:t>
        </w:r>
      </w:hyperlink>
      <w:r w:rsidDel="00000000" w:rsidR="00000000" w:rsidRPr="00000000">
        <w:rPr>
          <w:rtl w:val="0"/>
        </w:rPr>
      </w:r>
    </w:p>
    <w:p w:rsidR="00000000" w:rsidDel="00000000" w:rsidP="00000000" w:rsidRDefault="00000000" w:rsidRPr="00000000" w14:paraId="00000020">
      <w:pPr>
        <w:spacing w:line="240" w:lineRule="auto"/>
        <w:ind w:firstLine="20"/>
        <w:jc w:val="both"/>
        <w:rPr>
          <w:rFonts w:ascii="Times New Roman" w:cs="Times New Roman" w:eastAsia="Times New Roman" w:hAnsi="Times New Roman"/>
          <w:sz w:val="28"/>
          <w:szCs w:val="28"/>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nazk.gov.ua/uk/novyny/nazk-spryyae-vprovadzhennyu-edynyh-pidhodiv-do-realizatsii-rekomendatsiy-nato-u-sferi-oboronnyh-zakupivel/" TargetMode="External"/><Relationship Id="rId10" Type="http://schemas.openxmlformats.org/officeDocument/2006/relationships/hyperlink" Target="https://nazk.gov.ua/uk/nazk-aoz-i-dot-prezentuvaly-progres-vprovadzhennya-mehanizmiv-prozorosti-dobrochesnosti-ta-pidzvitnosti-v-oboronnyh-zakupivlyah/" TargetMode="External"/><Relationship Id="rId13" Type="http://schemas.openxmlformats.org/officeDocument/2006/relationships/hyperlink" Target="https://nazk.gov.ua/pdfjs/?file=/wp-content/uploads/Pages/75/86/75864b28ba53e97ab6be0a8447d58f6a4a7897b1e24a219d36a9b821fd8443314096827.pdf" TargetMode="External"/><Relationship Id="rId12" Type="http://schemas.openxmlformats.org/officeDocument/2006/relationships/hyperlink" Target="https://nazk.gov.ua/uk/novyny/zakupivli/"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nazk.gov.ua/uk/novyny/nazk-bratyme-uchast-u-rozrobtsi-rekomendatsiy-schodo-pokraschennya-systemy-oboronnyh-zakupivel-v-mezhah-robochoi-grupy-ukrainy-ta-nato/?utm_source=chatgpt.com" TargetMode="External"/><Relationship Id="rId15" Type="http://schemas.openxmlformats.org/officeDocument/2006/relationships/hyperlink" Target="https://nazk.gov.ua/uk/novyny/nazk-predstavylo-plan-zahodiv-dlya-usunennya-koruptsiynyh-ryzykiv-v-tylovyh-zakupivlyah-dlya-zsu/" TargetMode="External"/><Relationship Id="rId14" Type="http://schemas.openxmlformats.org/officeDocument/2006/relationships/hyperlink" Target="https://nazk.gov.ua/pdfjs/?file=/wp-content/uploads/Pages/47/ce/47cefa0f209858c87a283d28fb809ffa56e4ee93ee3b2e729ae4f68484e4c8d94015769.pdf" TargetMode="External"/><Relationship Id="rId5" Type="http://schemas.openxmlformats.org/officeDocument/2006/relationships/styles" Target="styles.xml"/><Relationship Id="rId6" Type="http://schemas.openxmlformats.org/officeDocument/2006/relationships/hyperlink" Target="https://nazk.gov.ua/uk/zakupivli/" TargetMode="External"/><Relationship Id="rId7" Type="http://schemas.openxmlformats.org/officeDocument/2006/relationships/hyperlink" Target="https://nazk.gov.ua/uk/nazk-predstavylo-unifikovanyy-plan-diy-dlya-vykonannya-rekomendatsiy-nato-schodo-dobrochesnosti-v-sektori-bezpeky-ta-oborony/" TargetMode="External"/><Relationship Id="rId8" Type="http://schemas.openxmlformats.org/officeDocument/2006/relationships/hyperlink" Target="https://www.army-pro.com/wp-content/uploads/2024/10/strategichnyj-oglyad-oboronnyh-zakupivel-ukrayina-nato.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