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9D" w:rsidRPr="006B319D" w:rsidRDefault="006B319D" w:rsidP="006472C9">
      <w:pPr>
        <w:spacing w:after="0" w:line="240" w:lineRule="auto"/>
        <w:ind w:left="0" w:right="-17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6B319D">
        <w:rPr>
          <w:rFonts w:eastAsiaTheme="minorHAnsi"/>
          <w:b/>
          <w:color w:val="auto"/>
          <w:szCs w:val="28"/>
          <w:lang w:eastAsia="en-US"/>
        </w:rPr>
        <w:t>ЗВІТ</w:t>
      </w:r>
    </w:p>
    <w:p w:rsidR="006B319D" w:rsidRPr="006B319D" w:rsidRDefault="006B319D" w:rsidP="006472C9">
      <w:pPr>
        <w:spacing w:after="0" w:line="240" w:lineRule="auto"/>
        <w:ind w:left="0" w:right="-17" w:firstLine="0"/>
        <w:jc w:val="center"/>
        <w:rPr>
          <w:b/>
          <w:szCs w:val="28"/>
        </w:rPr>
      </w:pPr>
      <w:r w:rsidRPr="006B319D">
        <w:rPr>
          <w:rFonts w:eastAsiaTheme="minorHAnsi"/>
          <w:b/>
          <w:color w:val="auto"/>
          <w:szCs w:val="28"/>
          <w:lang w:eastAsia="en-US"/>
        </w:rPr>
        <w:t xml:space="preserve">за </w:t>
      </w:r>
      <w:r w:rsidRPr="006B319D">
        <w:rPr>
          <w:b/>
          <w:szCs w:val="28"/>
        </w:rPr>
        <w:t>результатами аналізу</w:t>
      </w:r>
    </w:p>
    <w:p w:rsidR="006472C9" w:rsidRDefault="006B319D" w:rsidP="006472C9">
      <w:pPr>
        <w:spacing w:after="0" w:line="240" w:lineRule="auto"/>
        <w:ind w:left="0" w:right="-17" w:firstLine="0"/>
        <w:jc w:val="center"/>
        <w:rPr>
          <w:b/>
          <w:szCs w:val="28"/>
        </w:rPr>
      </w:pPr>
      <w:r w:rsidRPr="006B319D">
        <w:rPr>
          <w:b/>
          <w:szCs w:val="28"/>
        </w:rPr>
        <w:t>результативності розгляду Національним</w:t>
      </w:r>
      <w:r w:rsidR="006472C9">
        <w:rPr>
          <w:b/>
          <w:szCs w:val="28"/>
        </w:rPr>
        <w:t xml:space="preserve"> </w:t>
      </w:r>
      <w:r w:rsidRPr="006B319D">
        <w:rPr>
          <w:b/>
          <w:szCs w:val="28"/>
        </w:rPr>
        <w:t>антикорупційним</w:t>
      </w:r>
    </w:p>
    <w:p w:rsidR="006472C9" w:rsidRDefault="006B319D" w:rsidP="006472C9">
      <w:pPr>
        <w:spacing w:after="0" w:line="240" w:lineRule="auto"/>
        <w:ind w:left="-17" w:right="-17" w:firstLine="0"/>
        <w:jc w:val="center"/>
        <w:rPr>
          <w:b/>
          <w:szCs w:val="28"/>
        </w:rPr>
      </w:pPr>
      <w:r w:rsidRPr="006B319D">
        <w:rPr>
          <w:b/>
          <w:szCs w:val="28"/>
        </w:rPr>
        <w:t>бюро України узагальнених матеріалів Державної служби</w:t>
      </w:r>
    </w:p>
    <w:p w:rsidR="006B319D" w:rsidRDefault="006B319D" w:rsidP="006472C9">
      <w:pPr>
        <w:spacing w:after="0" w:line="240" w:lineRule="auto"/>
        <w:ind w:left="-17" w:right="-17" w:firstLine="0"/>
        <w:jc w:val="center"/>
        <w:rPr>
          <w:b/>
          <w:szCs w:val="28"/>
        </w:rPr>
      </w:pPr>
      <w:r w:rsidRPr="006B319D">
        <w:rPr>
          <w:b/>
          <w:szCs w:val="28"/>
        </w:rPr>
        <w:t xml:space="preserve"> фінансового моніторингу України</w:t>
      </w:r>
    </w:p>
    <w:p w:rsidR="006B319D" w:rsidRDefault="006B319D" w:rsidP="006B319D">
      <w:pPr>
        <w:spacing w:after="0" w:line="240" w:lineRule="auto"/>
        <w:ind w:left="-17" w:right="-17" w:firstLine="697"/>
        <w:rPr>
          <w:b/>
          <w:szCs w:val="28"/>
        </w:rPr>
      </w:pPr>
    </w:p>
    <w:p w:rsidR="006B319D" w:rsidRDefault="006B319D" w:rsidP="006B319D">
      <w:pPr>
        <w:spacing w:after="0" w:line="240" w:lineRule="auto"/>
        <w:ind w:left="-17" w:right="-17" w:firstLine="697"/>
        <w:rPr>
          <w:szCs w:val="28"/>
        </w:rPr>
      </w:pPr>
      <w:r>
        <w:rPr>
          <w:szCs w:val="28"/>
        </w:rPr>
        <w:t xml:space="preserve">Національним антикорупційним бюро України (далі – Національне бюро) проведено аналіз </w:t>
      </w:r>
      <w:r w:rsidRPr="008769AE">
        <w:rPr>
          <w:szCs w:val="28"/>
        </w:rPr>
        <w:t>результативності розгляду</w:t>
      </w:r>
      <w:r>
        <w:rPr>
          <w:szCs w:val="28"/>
        </w:rPr>
        <w:t xml:space="preserve"> детективами</w:t>
      </w:r>
      <w:r w:rsidRPr="008769AE">
        <w:rPr>
          <w:szCs w:val="28"/>
        </w:rPr>
        <w:t xml:space="preserve"> Національн</w:t>
      </w:r>
      <w:r>
        <w:rPr>
          <w:szCs w:val="28"/>
        </w:rPr>
        <w:t xml:space="preserve">ого </w:t>
      </w:r>
      <w:r w:rsidRPr="008769AE">
        <w:rPr>
          <w:szCs w:val="28"/>
        </w:rPr>
        <w:t xml:space="preserve">бюро узагальнених матеріалів </w:t>
      </w:r>
      <w:proofErr w:type="spellStart"/>
      <w:r w:rsidRPr="008769AE">
        <w:rPr>
          <w:szCs w:val="28"/>
        </w:rPr>
        <w:t>Держфінмоніторингу</w:t>
      </w:r>
      <w:proofErr w:type="spellEnd"/>
      <w:r>
        <w:rPr>
          <w:szCs w:val="28"/>
        </w:rPr>
        <w:t xml:space="preserve">, </w:t>
      </w:r>
      <w:r w:rsidRPr="00CD6DA7">
        <w:rPr>
          <w:szCs w:val="28"/>
        </w:rPr>
        <w:t xml:space="preserve">встановлено причини, що знижують таку результативність, та визначено рекомендації щодо удосконалення співпраці між Національним бюро та </w:t>
      </w:r>
      <w:proofErr w:type="spellStart"/>
      <w:r w:rsidRPr="00CD6DA7">
        <w:rPr>
          <w:szCs w:val="28"/>
        </w:rPr>
        <w:t>Держфінмоніторингом</w:t>
      </w:r>
      <w:proofErr w:type="spellEnd"/>
      <w:r w:rsidRPr="00CD6DA7">
        <w:rPr>
          <w:szCs w:val="28"/>
        </w:rPr>
        <w:t>»</w:t>
      </w:r>
      <w:r w:rsidRPr="008769AE">
        <w:rPr>
          <w:szCs w:val="28"/>
        </w:rPr>
        <w:t>.</w:t>
      </w:r>
    </w:p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  <w:r>
        <w:rPr>
          <w:szCs w:val="28"/>
        </w:rPr>
        <w:t xml:space="preserve">Інформуємо, що на виконання пункту 7 розділу </w:t>
      </w:r>
      <w:r w:rsidRPr="00212F35">
        <w:rPr>
          <w:szCs w:val="28"/>
        </w:rPr>
        <w:t xml:space="preserve"> </w:t>
      </w:r>
      <w:r>
        <w:rPr>
          <w:szCs w:val="28"/>
          <w:lang w:val="en-US"/>
        </w:rPr>
        <w:t>IV</w:t>
      </w:r>
      <w:r w:rsidRPr="00FD131C">
        <w:rPr>
          <w:szCs w:val="28"/>
        </w:rPr>
        <w:t xml:space="preserve"> </w:t>
      </w:r>
      <w:r w:rsidRPr="00851EDA">
        <w:rPr>
          <w:rStyle w:val="rvts23"/>
          <w:szCs w:val="28"/>
        </w:rPr>
        <w:t>П</w:t>
      </w:r>
      <w:r>
        <w:rPr>
          <w:rStyle w:val="rvts23"/>
          <w:szCs w:val="28"/>
        </w:rPr>
        <w:t>орядку</w:t>
      </w:r>
      <w:r w:rsidRPr="00851EDA">
        <w:rPr>
          <w:rStyle w:val="rvts23"/>
          <w:szCs w:val="28"/>
        </w:rPr>
        <w:t xml:space="preserve"> надання Державною службою фінансового моніторингу України Національному антикорупційному бюро України узагальнених (додаткових узагальнених) матеріалів та отримання Державною службою фінансового моніторингу України інформації про хід їх розгляду</w:t>
      </w:r>
      <w:r>
        <w:rPr>
          <w:rStyle w:val="rvts23"/>
          <w:szCs w:val="28"/>
        </w:rPr>
        <w:t xml:space="preserve"> (далі - Положення), зазначені суб’єкти </w:t>
      </w:r>
      <w:r>
        <w:rPr>
          <w:rStyle w:val="rvts0"/>
        </w:rPr>
        <w:t xml:space="preserve">один раз на півроку проводять звірку результатів розгляду переданих узагальнених (додаткових узагальнених) матеріалів. </w:t>
      </w:r>
    </w:p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  <w:r>
        <w:rPr>
          <w:rStyle w:val="rvts0"/>
        </w:rPr>
        <w:t xml:space="preserve">Акт звірки </w:t>
      </w:r>
      <w:proofErr w:type="spellStart"/>
      <w:r>
        <w:rPr>
          <w:rStyle w:val="rvts0"/>
        </w:rPr>
        <w:t>Держфінмоніторингу</w:t>
      </w:r>
      <w:proofErr w:type="spellEnd"/>
      <w:r>
        <w:rPr>
          <w:rStyle w:val="rvts0"/>
        </w:rPr>
        <w:t xml:space="preserve"> та Національного бюро включає відомості про узагальнені матеріали та додаткові узагальнені матеріали, які </w:t>
      </w:r>
      <w:r w:rsidRPr="00AB11CB">
        <w:rPr>
          <w:rStyle w:val="rvts0"/>
          <w:b/>
        </w:rPr>
        <w:t xml:space="preserve">перебувають на розгляді </w:t>
      </w:r>
      <w:r>
        <w:rPr>
          <w:rStyle w:val="rvts0"/>
          <w:b/>
        </w:rPr>
        <w:t>Національного бюро</w:t>
      </w:r>
      <w:r w:rsidRPr="00AB11CB">
        <w:rPr>
          <w:rStyle w:val="rvts0"/>
          <w:b/>
        </w:rPr>
        <w:t xml:space="preserve"> понад шість місяців</w:t>
      </w:r>
      <w:r>
        <w:rPr>
          <w:rStyle w:val="rvts0"/>
        </w:rPr>
        <w:t xml:space="preserve"> і стосовно яких у </w:t>
      </w:r>
      <w:proofErr w:type="spellStart"/>
      <w:r>
        <w:rPr>
          <w:rStyle w:val="rvts0"/>
        </w:rPr>
        <w:t>Держфінмоніторингу</w:t>
      </w:r>
      <w:proofErr w:type="spellEnd"/>
      <w:r>
        <w:rPr>
          <w:rStyle w:val="rvts0"/>
        </w:rPr>
        <w:t xml:space="preserve"> відсутня інформація щодо прийнятого процесуального рішення або іншого рішення, передбаченого законодавством.</w:t>
      </w:r>
    </w:p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  <w:r>
        <w:rPr>
          <w:rStyle w:val="rvts0"/>
        </w:rPr>
        <w:t xml:space="preserve">Так, протягом 2023 року, проведено звірку стосовно 39 узагальнених матеріалів вищевказаної категорії. </w:t>
      </w:r>
    </w:p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  <w:r>
        <w:rPr>
          <w:rStyle w:val="rvts0"/>
        </w:rPr>
        <w:t>З вказаної кількості матеріалів, станом на 12 травня 2024 року:</w:t>
      </w:r>
    </w:p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985"/>
        <w:gridCol w:w="1701"/>
        <w:gridCol w:w="1134"/>
      </w:tblGrid>
      <w:tr w:rsidR="00A01B2A" w:rsidTr="008D756A">
        <w:tc>
          <w:tcPr>
            <w:tcW w:w="1413" w:type="dxa"/>
          </w:tcPr>
          <w:p w:rsidR="00A01B2A" w:rsidRPr="00800053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 w:rsidRPr="00800053">
              <w:rPr>
                <w:rStyle w:val="rvts0"/>
                <w:sz w:val="24"/>
                <w:szCs w:val="24"/>
              </w:rPr>
              <w:t>Долучено до матеріалів</w:t>
            </w:r>
            <w:r>
              <w:rPr>
                <w:rStyle w:val="rvts0"/>
                <w:sz w:val="24"/>
                <w:szCs w:val="24"/>
              </w:rPr>
              <w:t xml:space="preserve"> </w:t>
            </w:r>
            <w:r w:rsidRPr="00800053">
              <w:rPr>
                <w:rStyle w:val="rvts0"/>
                <w:sz w:val="24"/>
                <w:szCs w:val="24"/>
              </w:rPr>
              <w:t>КП</w:t>
            </w:r>
          </w:p>
        </w:tc>
        <w:tc>
          <w:tcPr>
            <w:tcW w:w="1701" w:type="dxa"/>
          </w:tcPr>
          <w:p w:rsidR="00A01B2A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Передано</w:t>
            </w:r>
          </w:p>
          <w:p w:rsidR="00A01B2A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до іншого</w:t>
            </w:r>
          </w:p>
          <w:p w:rsidR="00A01B2A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proofErr w:type="spellStart"/>
            <w:r>
              <w:rPr>
                <w:rStyle w:val="rvts0"/>
                <w:sz w:val="24"/>
                <w:szCs w:val="24"/>
              </w:rPr>
              <w:t>правоохорон</w:t>
            </w:r>
            <w:proofErr w:type="spellEnd"/>
          </w:p>
          <w:p w:rsidR="00A01B2A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ного  органу (БЕБ)</w:t>
            </w:r>
          </w:p>
          <w:p w:rsidR="00A01B2A" w:rsidRPr="00800053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B2A" w:rsidRPr="00800053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Повернуто ініціатору</w:t>
            </w:r>
          </w:p>
        </w:tc>
        <w:tc>
          <w:tcPr>
            <w:tcW w:w="1985" w:type="dxa"/>
          </w:tcPr>
          <w:p w:rsidR="00A01B2A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 xml:space="preserve">Не </w:t>
            </w:r>
            <w:proofErr w:type="spellStart"/>
            <w:r>
              <w:rPr>
                <w:rStyle w:val="rvts0"/>
                <w:sz w:val="24"/>
                <w:szCs w:val="24"/>
              </w:rPr>
              <w:t>встановле</w:t>
            </w:r>
            <w:proofErr w:type="spellEnd"/>
          </w:p>
          <w:p w:rsidR="00A01B2A" w:rsidRPr="00800053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но достатніх підстав для внесення даних до ЄРДР</w:t>
            </w:r>
          </w:p>
        </w:tc>
        <w:tc>
          <w:tcPr>
            <w:tcW w:w="1701" w:type="dxa"/>
          </w:tcPr>
          <w:p w:rsidR="00A01B2A" w:rsidRPr="00800053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Перебувають на розгляді детективів</w:t>
            </w:r>
          </w:p>
        </w:tc>
        <w:tc>
          <w:tcPr>
            <w:tcW w:w="1134" w:type="dxa"/>
          </w:tcPr>
          <w:p w:rsidR="00A01B2A" w:rsidRPr="00800053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sz w:val="24"/>
                <w:szCs w:val="24"/>
              </w:rPr>
            </w:pPr>
            <w:r>
              <w:rPr>
                <w:rStyle w:val="rvts0"/>
                <w:sz w:val="24"/>
                <w:szCs w:val="24"/>
              </w:rPr>
              <w:t>Всього</w:t>
            </w:r>
          </w:p>
        </w:tc>
      </w:tr>
      <w:tr w:rsidR="00A01B2A" w:rsidTr="008D756A">
        <w:tc>
          <w:tcPr>
            <w:tcW w:w="1413" w:type="dxa"/>
          </w:tcPr>
          <w:p w:rsidR="00A01B2A" w:rsidRPr="00CD6DA7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b/>
              </w:rPr>
            </w:pPr>
            <w:r w:rsidRPr="00CD6DA7">
              <w:rPr>
                <w:rStyle w:val="rvts0"/>
                <w:b/>
              </w:rPr>
              <w:t>20</w:t>
            </w:r>
          </w:p>
        </w:tc>
        <w:tc>
          <w:tcPr>
            <w:tcW w:w="1701" w:type="dxa"/>
          </w:tcPr>
          <w:p w:rsidR="00A01B2A" w:rsidRPr="00CD6DA7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b/>
              </w:rPr>
            </w:pPr>
            <w:r w:rsidRPr="00CD6DA7">
              <w:rPr>
                <w:rStyle w:val="rvts0"/>
                <w:b/>
              </w:rPr>
              <w:t>3</w:t>
            </w:r>
          </w:p>
        </w:tc>
        <w:tc>
          <w:tcPr>
            <w:tcW w:w="1559" w:type="dxa"/>
          </w:tcPr>
          <w:p w:rsidR="00A01B2A" w:rsidRPr="00CD6DA7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b/>
              </w:rPr>
            </w:pPr>
            <w:r w:rsidRPr="00CD6DA7">
              <w:rPr>
                <w:rStyle w:val="rvts0"/>
                <w:b/>
              </w:rPr>
              <w:t>1</w:t>
            </w:r>
          </w:p>
        </w:tc>
        <w:tc>
          <w:tcPr>
            <w:tcW w:w="1985" w:type="dxa"/>
          </w:tcPr>
          <w:p w:rsidR="00A01B2A" w:rsidRPr="00CD6DA7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b/>
              </w:rPr>
            </w:pPr>
            <w:r w:rsidRPr="00CD6DA7">
              <w:rPr>
                <w:rStyle w:val="rvts0"/>
                <w:b/>
              </w:rPr>
              <w:t>6</w:t>
            </w:r>
          </w:p>
        </w:tc>
        <w:tc>
          <w:tcPr>
            <w:tcW w:w="1701" w:type="dxa"/>
          </w:tcPr>
          <w:p w:rsidR="00A01B2A" w:rsidRPr="00CD6DA7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b/>
              </w:rPr>
            </w:pPr>
            <w:r w:rsidRPr="00CD6DA7">
              <w:rPr>
                <w:rStyle w:val="rvts0"/>
                <w:b/>
              </w:rPr>
              <w:t>9</w:t>
            </w:r>
          </w:p>
        </w:tc>
        <w:tc>
          <w:tcPr>
            <w:tcW w:w="1134" w:type="dxa"/>
          </w:tcPr>
          <w:p w:rsidR="00A01B2A" w:rsidRPr="00CD6DA7" w:rsidRDefault="00A01B2A" w:rsidP="008D756A">
            <w:pPr>
              <w:spacing w:after="0" w:line="240" w:lineRule="auto"/>
              <w:ind w:left="0" w:firstLine="0"/>
              <w:jc w:val="center"/>
              <w:rPr>
                <w:rStyle w:val="rvts0"/>
                <w:b/>
              </w:rPr>
            </w:pPr>
            <w:r w:rsidRPr="00CD6DA7">
              <w:rPr>
                <w:rStyle w:val="rvts0"/>
                <w:b/>
              </w:rPr>
              <w:t>39</w:t>
            </w:r>
          </w:p>
        </w:tc>
      </w:tr>
    </w:tbl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</w:p>
    <w:p w:rsidR="00A01B2A" w:rsidRDefault="00A01B2A" w:rsidP="00A01B2A">
      <w:pPr>
        <w:spacing w:after="0" w:line="240" w:lineRule="auto"/>
        <w:ind w:left="0" w:firstLine="680"/>
        <w:rPr>
          <w:rStyle w:val="rvts0"/>
        </w:rPr>
      </w:pPr>
      <w:r>
        <w:rPr>
          <w:rStyle w:val="rvts0"/>
        </w:rPr>
        <w:t xml:space="preserve">Опитуванням детективів головних підрозділів детективів Національного бюро встановлено, що у цілому якість </w:t>
      </w:r>
      <w:r w:rsidRPr="00FD131C">
        <w:rPr>
          <w:rStyle w:val="rvts0"/>
        </w:rPr>
        <w:t xml:space="preserve">узагальнених матеріалів </w:t>
      </w:r>
      <w:proofErr w:type="spellStart"/>
      <w:r>
        <w:rPr>
          <w:rStyle w:val="rvts0"/>
        </w:rPr>
        <w:t>Держфінмоніторингу</w:t>
      </w:r>
      <w:proofErr w:type="spellEnd"/>
      <w:r>
        <w:rPr>
          <w:rStyle w:val="rvts0"/>
        </w:rPr>
        <w:t xml:space="preserve"> оцінюється як прийнятна. Разом з цим, мають місце випадки, коли такі узагальнені матеріали не можуть бути безпосередньо використані для виконання завдань Національного бюро.</w:t>
      </w:r>
    </w:p>
    <w:p w:rsidR="00A01B2A" w:rsidRDefault="00A01B2A" w:rsidP="00A01B2A">
      <w:pPr>
        <w:spacing w:after="0" w:line="240" w:lineRule="auto"/>
        <w:ind w:left="0" w:firstLine="680"/>
        <w:rPr>
          <w:szCs w:val="28"/>
        </w:rPr>
      </w:pPr>
      <w:r>
        <w:rPr>
          <w:rStyle w:val="rvts0"/>
        </w:rPr>
        <w:t xml:space="preserve">Зокрема однією з причин низької результативності розгляду узагальнених матеріалів, </w:t>
      </w:r>
      <w:r w:rsidRPr="00D53A98">
        <w:rPr>
          <w:szCs w:val="28"/>
        </w:rPr>
        <w:t>які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</w:t>
      </w:r>
      <w:r w:rsidRPr="00D53A98">
        <w:rPr>
          <w:szCs w:val="28"/>
        </w:rPr>
        <w:t>ержфінмоніторинг</w:t>
      </w:r>
      <w:proofErr w:type="spellEnd"/>
      <w:r w:rsidRPr="00D53A98">
        <w:rPr>
          <w:szCs w:val="28"/>
        </w:rPr>
        <w:t xml:space="preserve"> надає Національному антикорупційному бюро</w:t>
      </w:r>
      <w:r>
        <w:rPr>
          <w:szCs w:val="28"/>
        </w:rPr>
        <w:t xml:space="preserve"> України</w:t>
      </w:r>
      <w:r w:rsidRPr="00D53A98">
        <w:rPr>
          <w:szCs w:val="28"/>
        </w:rPr>
        <w:t>,</w:t>
      </w:r>
      <w:r>
        <w:rPr>
          <w:szCs w:val="28"/>
        </w:rPr>
        <w:t xml:space="preserve"> є те, що ініціатор не завжди враховує особливості підслідності кримінальних правопорушень, досудове розслідування яких здійснюється детективами Національного бюро (ч. 5 ст. 216 КПК України).</w:t>
      </w:r>
    </w:p>
    <w:p w:rsidR="00A01B2A" w:rsidRDefault="00A01B2A" w:rsidP="00A01B2A">
      <w:pPr>
        <w:spacing w:after="0" w:line="240" w:lineRule="auto"/>
        <w:ind w:left="0" w:firstLine="680"/>
        <w:rPr>
          <w:szCs w:val="28"/>
        </w:rPr>
      </w:pPr>
      <w:r>
        <w:rPr>
          <w:szCs w:val="28"/>
        </w:rPr>
        <w:lastRenderedPageBreak/>
        <w:t xml:space="preserve">У таких випадках працівники Національного бюро, керуючись ч. 4 розділу ІІІ </w:t>
      </w:r>
      <w:r w:rsidRPr="00D53A98">
        <w:rPr>
          <w:szCs w:val="28"/>
        </w:rPr>
        <w:t xml:space="preserve"> </w:t>
      </w:r>
      <w:r>
        <w:rPr>
          <w:szCs w:val="28"/>
        </w:rPr>
        <w:t>Положення, передають узагальнені матеріали до іншого правоохоронного органу.</w:t>
      </w:r>
    </w:p>
    <w:p w:rsidR="00A01B2A" w:rsidRDefault="00A01B2A" w:rsidP="00A01B2A">
      <w:pPr>
        <w:spacing w:after="0" w:line="240" w:lineRule="auto"/>
        <w:ind w:left="0" w:firstLine="680"/>
        <w:rPr>
          <w:szCs w:val="28"/>
        </w:rPr>
      </w:pPr>
      <w:r>
        <w:rPr>
          <w:szCs w:val="28"/>
        </w:rPr>
        <w:t xml:space="preserve">Крім того, виявлені випадки, коли узагальнені матеріали, які були </w:t>
      </w:r>
      <w:proofErr w:type="spellStart"/>
      <w:r>
        <w:rPr>
          <w:szCs w:val="28"/>
        </w:rPr>
        <w:t>ініціативно</w:t>
      </w:r>
      <w:proofErr w:type="spellEnd"/>
      <w:r>
        <w:rPr>
          <w:szCs w:val="28"/>
        </w:rPr>
        <w:t xml:space="preserve"> підготовлені та направлені </w:t>
      </w:r>
      <w:proofErr w:type="spellStart"/>
      <w:r>
        <w:rPr>
          <w:szCs w:val="28"/>
        </w:rPr>
        <w:t>Держфінмоніторингом</w:t>
      </w:r>
      <w:proofErr w:type="spellEnd"/>
      <w:r>
        <w:rPr>
          <w:szCs w:val="28"/>
        </w:rPr>
        <w:t xml:space="preserve"> на адресу Національного бюро, обмежувалися лише припущенням про сумнівність та/або підозрілість тієї чи іншої фінансової операції без зазначення які саме дії містять, на думку </w:t>
      </w:r>
      <w:proofErr w:type="spellStart"/>
      <w:r>
        <w:rPr>
          <w:szCs w:val="28"/>
        </w:rPr>
        <w:t>Держфінмоніторингу</w:t>
      </w:r>
      <w:proofErr w:type="spellEnd"/>
      <w:r>
        <w:rPr>
          <w:szCs w:val="28"/>
        </w:rPr>
        <w:t>, ті чи інші ознаки конкретних кримінальних правопорушень. Такий підхід до складання узагальнених матеріалів значно ускладнює оцінку повідомленої інформації з точки зору наявності підстав для внесення відомостей до Єдиного реєстру досудових розслідувань і початку розслідування відповідно до вимог ч. 1 ст. 214 КПК України.</w:t>
      </w:r>
    </w:p>
    <w:p w:rsidR="00A01B2A" w:rsidRDefault="00A01B2A" w:rsidP="00A01B2A">
      <w:pPr>
        <w:spacing w:after="0" w:line="240" w:lineRule="auto"/>
        <w:ind w:left="0" w:firstLine="680"/>
        <w:rPr>
          <w:szCs w:val="28"/>
        </w:rPr>
      </w:pPr>
      <w:r>
        <w:rPr>
          <w:szCs w:val="28"/>
        </w:rPr>
        <w:t xml:space="preserve">У такому випадку надана </w:t>
      </w:r>
      <w:proofErr w:type="spellStart"/>
      <w:r>
        <w:rPr>
          <w:szCs w:val="28"/>
        </w:rPr>
        <w:t>Держфінмоніторингом</w:t>
      </w:r>
      <w:proofErr w:type="spellEnd"/>
      <w:r>
        <w:rPr>
          <w:szCs w:val="28"/>
        </w:rPr>
        <w:t xml:space="preserve"> інформація потребує більш ґрунтовної та детальної перевірки і</w:t>
      </w:r>
      <w:r w:rsidRPr="00B64313">
        <w:rPr>
          <w:szCs w:val="28"/>
        </w:rPr>
        <w:t>з залученням</w:t>
      </w:r>
      <w:r>
        <w:rPr>
          <w:szCs w:val="28"/>
        </w:rPr>
        <w:t xml:space="preserve"> (за необхідності)</w:t>
      </w:r>
      <w:r w:rsidRPr="00B64313">
        <w:rPr>
          <w:szCs w:val="28"/>
        </w:rPr>
        <w:t xml:space="preserve"> фахівців Управління кримінального аналізу та фінансових розслідувань Національного бюро, а також використання</w:t>
      </w:r>
      <w:r>
        <w:rPr>
          <w:szCs w:val="28"/>
        </w:rPr>
        <w:t xml:space="preserve">м інших засобів інформаційно- аналітичної роботи. Зазначені додаткові заходи займають, як правило, тривалий час та потребують задіяння значних ресурсів. Однак, за результатами такої інформаційно-аналітичної роботи Національне бюро у ряді випадків приходило до висновку про відсутність в </w:t>
      </w:r>
      <w:r w:rsidRPr="00F70C27">
        <w:rPr>
          <w:szCs w:val="28"/>
        </w:rPr>
        <w:t>узагальнен</w:t>
      </w:r>
      <w:r>
        <w:rPr>
          <w:szCs w:val="28"/>
        </w:rPr>
        <w:t>их</w:t>
      </w:r>
      <w:r w:rsidRPr="00F70C27">
        <w:rPr>
          <w:szCs w:val="28"/>
        </w:rPr>
        <w:t xml:space="preserve"> матеріал</w:t>
      </w:r>
      <w:r>
        <w:rPr>
          <w:szCs w:val="28"/>
        </w:rPr>
        <w:t>ах</w:t>
      </w:r>
      <w:r w:rsidRPr="00F70C27">
        <w:rPr>
          <w:szCs w:val="28"/>
        </w:rPr>
        <w:t xml:space="preserve"> </w:t>
      </w:r>
      <w:proofErr w:type="spellStart"/>
      <w:r w:rsidRPr="00F70C27">
        <w:rPr>
          <w:szCs w:val="28"/>
        </w:rPr>
        <w:t>Держфінмоніторингу</w:t>
      </w:r>
      <w:proofErr w:type="spellEnd"/>
      <w:r w:rsidRPr="00F70C27">
        <w:rPr>
          <w:szCs w:val="28"/>
        </w:rPr>
        <w:t xml:space="preserve"> </w:t>
      </w:r>
      <w:r>
        <w:rPr>
          <w:szCs w:val="28"/>
        </w:rPr>
        <w:t>достатніх відомостей, які б вказували на ознаки кримінальних правопорушень, підслідних детективам Національного бюро.</w:t>
      </w:r>
    </w:p>
    <w:p w:rsidR="00A01B2A" w:rsidRDefault="00A01B2A" w:rsidP="00A01B2A">
      <w:pPr>
        <w:spacing w:after="0" w:line="240" w:lineRule="auto"/>
        <w:ind w:left="-17" w:right="-17" w:firstLine="697"/>
        <w:rPr>
          <w:szCs w:val="28"/>
        </w:rPr>
      </w:pPr>
      <w:r>
        <w:rPr>
          <w:szCs w:val="28"/>
        </w:rPr>
        <w:t xml:space="preserve">Таким чином, з метою покращення результативності розгляду Національним антикорупційним бюро України узагальнених (додаткових узагальнених) матеріалів </w:t>
      </w:r>
      <w:proofErr w:type="spellStart"/>
      <w:r>
        <w:rPr>
          <w:szCs w:val="28"/>
        </w:rPr>
        <w:t>Держфінмоніторингу</w:t>
      </w:r>
      <w:proofErr w:type="spellEnd"/>
    </w:p>
    <w:p w:rsidR="006472C9" w:rsidRDefault="006472C9" w:rsidP="006472C9">
      <w:pPr>
        <w:spacing w:after="0" w:line="240" w:lineRule="auto"/>
        <w:ind w:left="0" w:firstLine="680"/>
        <w:rPr>
          <w:szCs w:val="28"/>
        </w:rPr>
      </w:pPr>
    </w:p>
    <w:p w:rsidR="006472C9" w:rsidRDefault="006472C9" w:rsidP="006472C9">
      <w:pPr>
        <w:spacing w:after="0" w:line="240" w:lineRule="auto"/>
        <w:ind w:left="0" w:firstLine="680"/>
        <w:jc w:val="center"/>
        <w:rPr>
          <w:b/>
          <w:szCs w:val="28"/>
        </w:rPr>
      </w:pPr>
      <w:r w:rsidRPr="00A01B2A">
        <w:rPr>
          <w:b/>
          <w:szCs w:val="28"/>
        </w:rPr>
        <w:t>РЕКОМЕНДУЄМО:</w:t>
      </w:r>
    </w:p>
    <w:p w:rsidR="00A01B2A" w:rsidRPr="00A01B2A" w:rsidRDefault="00A01B2A" w:rsidP="006472C9">
      <w:pPr>
        <w:spacing w:after="0" w:line="240" w:lineRule="auto"/>
        <w:ind w:left="0" w:firstLine="680"/>
        <w:jc w:val="center"/>
        <w:rPr>
          <w:b/>
          <w:szCs w:val="28"/>
        </w:rPr>
      </w:pPr>
    </w:p>
    <w:p w:rsidR="00A01B2A" w:rsidRDefault="00A01B2A" w:rsidP="00A01B2A">
      <w:pPr>
        <w:pStyle w:val="a4"/>
        <w:numPr>
          <w:ilvl w:val="0"/>
          <w:numId w:val="2"/>
        </w:numPr>
        <w:spacing w:after="0" w:line="240" w:lineRule="auto"/>
        <w:ind w:left="0" w:firstLine="680"/>
        <w:rPr>
          <w:szCs w:val="28"/>
        </w:rPr>
      </w:pPr>
      <w:r w:rsidRPr="00A01B2A">
        <w:rPr>
          <w:szCs w:val="28"/>
        </w:rPr>
        <w:t xml:space="preserve">Під час підготовки узагальнених матеріалів враховувати особливості підслідності кримінальних правопорушень, досудове розслідування яких здійснюється детективами Національного бюро, та у подальшому керуватися положеннями ч. 5 ст. 216 КПК України під час вирішення питання про надсилання до Національного бюро узагальнених (додаткових узагальнених) матеріалів </w:t>
      </w:r>
      <w:proofErr w:type="spellStart"/>
      <w:r w:rsidRPr="00A01B2A">
        <w:rPr>
          <w:szCs w:val="28"/>
        </w:rPr>
        <w:t>Держфінмоніторингу</w:t>
      </w:r>
      <w:proofErr w:type="spellEnd"/>
      <w:r w:rsidRPr="00A01B2A">
        <w:rPr>
          <w:szCs w:val="28"/>
        </w:rPr>
        <w:t>.</w:t>
      </w:r>
    </w:p>
    <w:p w:rsidR="00A01B2A" w:rsidRDefault="00A01B2A" w:rsidP="00A01B2A">
      <w:pPr>
        <w:pStyle w:val="a4"/>
        <w:spacing w:after="0" w:line="240" w:lineRule="auto"/>
        <w:ind w:left="0" w:firstLine="680"/>
        <w:rPr>
          <w:szCs w:val="28"/>
        </w:rPr>
      </w:pPr>
    </w:p>
    <w:p w:rsidR="00A01B2A" w:rsidRPr="00A01B2A" w:rsidRDefault="00A01B2A" w:rsidP="00A01B2A">
      <w:pPr>
        <w:pStyle w:val="a4"/>
        <w:numPr>
          <w:ilvl w:val="0"/>
          <w:numId w:val="2"/>
        </w:numPr>
        <w:spacing w:after="0" w:line="240" w:lineRule="auto"/>
        <w:ind w:left="0" w:firstLine="680"/>
        <w:rPr>
          <w:szCs w:val="28"/>
        </w:rPr>
      </w:pPr>
      <w:r w:rsidRPr="00A01B2A">
        <w:rPr>
          <w:szCs w:val="28"/>
        </w:rPr>
        <w:t xml:space="preserve">Запровадити практику направлення </w:t>
      </w:r>
      <w:proofErr w:type="spellStart"/>
      <w:r w:rsidRPr="00A01B2A">
        <w:rPr>
          <w:szCs w:val="28"/>
        </w:rPr>
        <w:t>Держфінмоніторингом</w:t>
      </w:r>
      <w:proofErr w:type="spellEnd"/>
      <w:r w:rsidRPr="00A01B2A">
        <w:rPr>
          <w:szCs w:val="28"/>
        </w:rPr>
        <w:t xml:space="preserve"> за власною ініціативою до Національного бюро узагальнених (додаткових узагальнених) матеріалів, які містять перелік конкретних ознак, що можуть свідчити про вчинення відповідного кримінального правопорушення, підслідного детективам Національного бюро.</w:t>
      </w:r>
    </w:p>
    <w:p w:rsidR="006472C9" w:rsidRDefault="006472C9" w:rsidP="00A01B2A">
      <w:pPr>
        <w:spacing w:after="0" w:line="240" w:lineRule="auto"/>
        <w:ind w:left="0" w:firstLine="709"/>
        <w:rPr>
          <w:szCs w:val="28"/>
        </w:rPr>
      </w:pPr>
    </w:p>
    <w:p w:rsidR="006472C9" w:rsidRPr="00F95CCB" w:rsidRDefault="006472C9" w:rsidP="006472C9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ru-RU"/>
        </w:rPr>
      </w:pPr>
      <w:r>
        <w:rPr>
          <w:rFonts w:eastAsia="Calibri"/>
          <w:color w:val="auto"/>
          <w:szCs w:val="28"/>
          <w:lang w:eastAsia="ru-RU"/>
        </w:rPr>
        <w:t>Т. в. о. К</w:t>
      </w:r>
      <w:r w:rsidRPr="00F95CCB">
        <w:rPr>
          <w:rFonts w:eastAsia="Calibri"/>
          <w:color w:val="auto"/>
          <w:szCs w:val="28"/>
          <w:lang w:eastAsia="ru-RU"/>
        </w:rPr>
        <w:t>ерівник</w:t>
      </w:r>
      <w:r>
        <w:rPr>
          <w:rFonts w:eastAsia="Calibri"/>
          <w:color w:val="auto"/>
          <w:szCs w:val="28"/>
          <w:lang w:eastAsia="ru-RU"/>
        </w:rPr>
        <w:t xml:space="preserve">а Підрозділу детективів </w:t>
      </w:r>
    </w:p>
    <w:p w:rsidR="006472C9" w:rsidRDefault="006472C9" w:rsidP="006472C9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ru-RU"/>
        </w:rPr>
      </w:pPr>
      <w:r w:rsidRPr="00F95CCB">
        <w:rPr>
          <w:rFonts w:eastAsia="Calibri"/>
          <w:color w:val="auto"/>
          <w:szCs w:val="28"/>
          <w:lang w:eastAsia="ru-RU"/>
        </w:rPr>
        <w:t>організаційно-</w:t>
      </w:r>
      <w:r>
        <w:rPr>
          <w:rFonts w:eastAsia="Calibri"/>
          <w:color w:val="auto"/>
          <w:szCs w:val="28"/>
          <w:lang w:eastAsia="ru-RU"/>
        </w:rPr>
        <w:t xml:space="preserve">аналітичного забезпечення </w:t>
      </w:r>
    </w:p>
    <w:p w:rsidR="006472C9" w:rsidRPr="00D5749A" w:rsidRDefault="006472C9" w:rsidP="006472C9">
      <w:pPr>
        <w:spacing w:after="0" w:line="240" w:lineRule="auto"/>
        <w:ind w:left="0" w:right="0" w:firstLine="0"/>
        <w:rPr>
          <w:rFonts w:eastAsia="Calibri"/>
          <w:color w:val="auto"/>
          <w:szCs w:val="28"/>
          <w:lang w:eastAsia="ru-RU"/>
        </w:rPr>
      </w:pPr>
      <w:r>
        <w:rPr>
          <w:rFonts w:eastAsia="Calibri"/>
          <w:color w:val="auto"/>
          <w:szCs w:val="28"/>
          <w:lang w:eastAsia="ru-RU"/>
        </w:rPr>
        <w:t>та стратегічного розвитку</w:t>
      </w:r>
      <w:r>
        <w:rPr>
          <w:rFonts w:eastAsia="Calibri"/>
          <w:color w:val="auto"/>
          <w:szCs w:val="28"/>
          <w:lang w:eastAsia="ru-RU"/>
        </w:rPr>
        <w:tab/>
      </w:r>
      <w:r>
        <w:rPr>
          <w:rFonts w:eastAsia="Calibri"/>
          <w:color w:val="auto"/>
          <w:szCs w:val="28"/>
          <w:lang w:eastAsia="ru-RU"/>
        </w:rPr>
        <w:tab/>
      </w:r>
      <w:r>
        <w:rPr>
          <w:rFonts w:eastAsia="Calibri"/>
          <w:color w:val="auto"/>
          <w:szCs w:val="28"/>
          <w:lang w:eastAsia="ru-RU"/>
        </w:rPr>
        <w:tab/>
      </w:r>
      <w:r>
        <w:rPr>
          <w:rFonts w:eastAsia="Calibri"/>
          <w:color w:val="auto"/>
          <w:szCs w:val="28"/>
          <w:lang w:eastAsia="ru-RU"/>
        </w:rPr>
        <w:tab/>
      </w:r>
      <w:r>
        <w:rPr>
          <w:rFonts w:eastAsia="Calibri"/>
          <w:color w:val="auto"/>
          <w:szCs w:val="28"/>
          <w:lang w:eastAsia="ru-RU"/>
        </w:rPr>
        <w:tab/>
      </w:r>
      <w:r>
        <w:rPr>
          <w:rFonts w:eastAsia="Calibri"/>
          <w:color w:val="auto"/>
          <w:szCs w:val="28"/>
          <w:lang w:eastAsia="ru-RU"/>
        </w:rPr>
        <w:tab/>
        <w:t xml:space="preserve">        </w:t>
      </w:r>
      <w:r>
        <w:rPr>
          <w:rFonts w:eastAsia="Calibri"/>
          <w:b/>
          <w:color w:val="auto"/>
          <w:szCs w:val="28"/>
          <w:lang w:eastAsia="ru-RU"/>
        </w:rPr>
        <w:t>Євген ТОКАРЬ</w:t>
      </w:r>
    </w:p>
    <w:p w:rsidR="006472C9" w:rsidRDefault="006472C9" w:rsidP="006472C9">
      <w:pPr>
        <w:spacing w:after="0" w:line="240" w:lineRule="auto"/>
        <w:ind w:left="0" w:righ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6472C9" w:rsidRDefault="006472C9" w:rsidP="006472C9">
      <w:pPr>
        <w:spacing w:after="0" w:line="240" w:lineRule="auto"/>
        <w:ind w:left="0" w:right="-17" w:firstLine="0"/>
        <w:rPr>
          <w:b/>
          <w:szCs w:val="28"/>
        </w:rPr>
      </w:pPr>
    </w:p>
    <w:p w:rsidR="006472C9" w:rsidRPr="006B319D" w:rsidRDefault="006472C9" w:rsidP="00A01B2A">
      <w:pPr>
        <w:spacing w:after="0" w:line="240" w:lineRule="auto"/>
        <w:ind w:left="0" w:right="0" w:firstLine="0"/>
        <w:rPr>
          <w:b/>
          <w:szCs w:val="28"/>
        </w:rPr>
      </w:pPr>
      <w:r>
        <w:rPr>
          <w:rFonts w:eastAsiaTheme="minorHAnsi"/>
          <w:color w:val="auto"/>
          <w:sz w:val="24"/>
          <w:szCs w:val="24"/>
          <w:lang w:eastAsia="en-US"/>
        </w:rPr>
        <w:t>Лідія Бичіхіна</w:t>
      </w:r>
      <w:r w:rsidRPr="005904D6">
        <w:rPr>
          <w:rFonts w:eastAsiaTheme="minorHAnsi"/>
          <w:color w:val="auto"/>
          <w:sz w:val="24"/>
          <w:szCs w:val="24"/>
          <w:lang w:eastAsia="en-US"/>
        </w:rPr>
        <w:t xml:space="preserve"> 14-61</w:t>
      </w:r>
      <w:bookmarkStart w:id="0" w:name="_GoBack"/>
      <w:bookmarkEnd w:id="0"/>
    </w:p>
    <w:sectPr w:rsidR="006472C9" w:rsidRPr="006B319D" w:rsidSect="00A01B2A">
      <w:pgSz w:w="11906" w:h="16838" w:code="9"/>
      <w:pgMar w:top="851" w:right="567" w:bottom="993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3FE"/>
    <w:multiLevelType w:val="hybridMultilevel"/>
    <w:tmpl w:val="C974FE00"/>
    <w:lvl w:ilvl="0" w:tplc="D43213CC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4" w:hanging="360"/>
      </w:pPr>
    </w:lvl>
    <w:lvl w:ilvl="2" w:tplc="0422001B" w:tentative="1">
      <w:start w:val="1"/>
      <w:numFmt w:val="lowerRoman"/>
      <w:lvlText w:val="%3."/>
      <w:lvlJc w:val="right"/>
      <w:pPr>
        <w:ind w:left="2484" w:hanging="180"/>
      </w:pPr>
    </w:lvl>
    <w:lvl w:ilvl="3" w:tplc="0422000F" w:tentative="1">
      <w:start w:val="1"/>
      <w:numFmt w:val="decimal"/>
      <w:lvlText w:val="%4."/>
      <w:lvlJc w:val="left"/>
      <w:pPr>
        <w:ind w:left="3204" w:hanging="360"/>
      </w:pPr>
    </w:lvl>
    <w:lvl w:ilvl="4" w:tplc="04220019" w:tentative="1">
      <w:start w:val="1"/>
      <w:numFmt w:val="lowerLetter"/>
      <w:lvlText w:val="%5."/>
      <w:lvlJc w:val="left"/>
      <w:pPr>
        <w:ind w:left="3924" w:hanging="360"/>
      </w:pPr>
    </w:lvl>
    <w:lvl w:ilvl="5" w:tplc="0422001B" w:tentative="1">
      <w:start w:val="1"/>
      <w:numFmt w:val="lowerRoman"/>
      <w:lvlText w:val="%6."/>
      <w:lvlJc w:val="right"/>
      <w:pPr>
        <w:ind w:left="4644" w:hanging="180"/>
      </w:pPr>
    </w:lvl>
    <w:lvl w:ilvl="6" w:tplc="0422000F" w:tentative="1">
      <w:start w:val="1"/>
      <w:numFmt w:val="decimal"/>
      <w:lvlText w:val="%7."/>
      <w:lvlJc w:val="left"/>
      <w:pPr>
        <w:ind w:left="5364" w:hanging="360"/>
      </w:pPr>
    </w:lvl>
    <w:lvl w:ilvl="7" w:tplc="04220019" w:tentative="1">
      <w:start w:val="1"/>
      <w:numFmt w:val="lowerLetter"/>
      <w:lvlText w:val="%8."/>
      <w:lvlJc w:val="left"/>
      <w:pPr>
        <w:ind w:left="6084" w:hanging="360"/>
      </w:pPr>
    </w:lvl>
    <w:lvl w:ilvl="8" w:tplc="0422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 w15:restartNumberingAfterBreak="0">
    <w:nsid w:val="5D942FEB"/>
    <w:multiLevelType w:val="hybridMultilevel"/>
    <w:tmpl w:val="E19EF53C"/>
    <w:lvl w:ilvl="0" w:tplc="0A827AF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55"/>
    <w:rsid w:val="00001DD8"/>
    <w:rsid w:val="00006232"/>
    <w:rsid w:val="00007724"/>
    <w:rsid w:val="00037D35"/>
    <w:rsid w:val="000846A6"/>
    <w:rsid w:val="000A6168"/>
    <w:rsid w:val="00195BFD"/>
    <w:rsid w:val="001B2B2A"/>
    <w:rsid w:val="002851D7"/>
    <w:rsid w:val="002940A9"/>
    <w:rsid w:val="00340438"/>
    <w:rsid w:val="00352536"/>
    <w:rsid w:val="00377B63"/>
    <w:rsid w:val="00385B92"/>
    <w:rsid w:val="003C3E0C"/>
    <w:rsid w:val="00413532"/>
    <w:rsid w:val="00436116"/>
    <w:rsid w:val="00467451"/>
    <w:rsid w:val="004864A3"/>
    <w:rsid w:val="004C1469"/>
    <w:rsid w:val="004C7315"/>
    <w:rsid w:val="005164FB"/>
    <w:rsid w:val="005E3A6C"/>
    <w:rsid w:val="006472C9"/>
    <w:rsid w:val="006B319D"/>
    <w:rsid w:val="006C5341"/>
    <w:rsid w:val="0076164B"/>
    <w:rsid w:val="007A155B"/>
    <w:rsid w:val="007B05C2"/>
    <w:rsid w:val="007C2707"/>
    <w:rsid w:val="007D1741"/>
    <w:rsid w:val="007F06D0"/>
    <w:rsid w:val="00800053"/>
    <w:rsid w:val="00831E25"/>
    <w:rsid w:val="00835D34"/>
    <w:rsid w:val="008769AE"/>
    <w:rsid w:val="0088306E"/>
    <w:rsid w:val="00884F67"/>
    <w:rsid w:val="008F40C3"/>
    <w:rsid w:val="00926155"/>
    <w:rsid w:val="009275FC"/>
    <w:rsid w:val="009817CE"/>
    <w:rsid w:val="009871E6"/>
    <w:rsid w:val="009D142C"/>
    <w:rsid w:val="00A01B2A"/>
    <w:rsid w:val="00A6178B"/>
    <w:rsid w:val="00A74CF6"/>
    <w:rsid w:val="00AB11CB"/>
    <w:rsid w:val="00AB3609"/>
    <w:rsid w:val="00B01836"/>
    <w:rsid w:val="00B734D0"/>
    <w:rsid w:val="00BB32BB"/>
    <w:rsid w:val="00BD4F6F"/>
    <w:rsid w:val="00BF501B"/>
    <w:rsid w:val="00BF7783"/>
    <w:rsid w:val="00C32CD1"/>
    <w:rsid w:val="00C44F69"/>
    <w:rsid w:val="00C56B75"/>
    <w:rsid w:val="00C60F38"/>
    <w:rsid w:val="00CD6DA7"/>
    <w:rsid w:val="00D27B75"/>
    <w:rsid w:val="00D32BE1"/>
    <w:rsid w:val="00D53A98"/>
    <w:rsid w:val="00D5749A"/>
    <w:rsid w:val="00E07691"/>
    <w:rsid w:val="00E36B3F"/>
    <w:rsid w:val="00E70E67"/>
    <w:rsid w:val="00EA6A78"/>
    <w:rsid w:val="00EE240B"/>
    <w:rsid w:val="00F44CE1"/>
    <w:rsid w:val="00F95CCB"/>
    <w:rsid w:val="00F96273"/>
    <w:rsid w:val="00FA3353"/>
    <w:rsid w:val="00FB52C8"/>
    <w:rsid w:val="00FC4670"/>
    <w:rsid w:val="00FD15B3"/>
    <w:rsid w:val="00FE03CB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9A09"/>
  <w15:docId w15:val="{836B1221-7E3B-46BE-A157-661D7295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4678" w:right="9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6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6273"/>
    <w:pPr>
      <w:ind w:left="720"/>
      <w:contextualSpacing/>
    </w:pPr>
  </w:style>
  <w:style w:type="character" w:customStyle="1" w:styleId="rvts23">
    <w:name w:val="rvts23"/>
    <w:basedOn w:val="a0"/>
    <w:rsid w:val="00E36B3F"/>
  </w:style>
  <w:style w:type="character" w:customStyle="1" w:styleId="rvts0">
    <w:name w:val="rvts0"/>
    <w:basedOn w:val="a0"/>
    <w:rsid w:val="00AB11CB"/>
  </w:style>
  <w:style w:type="paragraph" w:styleId="a5">
    <w:name w:val="No Spacing"/>
    <w:uiPriority w:val="1"/>
    <w:qFormat/>
    <w:rsid w:val="00800053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80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3118</Words>
  <Characters>1778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Колотило Анастасія Сергіївна</dc:creator>
  <cp:keywords/>
  <cp:lastModifiedBy>Бичіхіна Лідія Анатоліївна</cp:lastModifiedBy>
  <cp:revision>2</cp:revision>
  <dcterms:created xsi:type="dcterms:W3CDTF">2024-06-28T14:41:00Z</dcterms:created>
  <dcterms:modified xsi:type="dcterms:W3CDTF">2024-06-28T14:41:00Z</dcterms:modified>
</cp:coreProperties>
</file>